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238D9" w14:textId="77777777" w:rsidR="006A647C" w:rsidRDefault="003322D1" w:rsidP="001A78D6">
      <w:r w:rsidRPr="003322D1">
        <w:rPr>
          <w:noProof/>
        </w:rPr>
        <mc:AlternateContent>
          <mc:Choice Requires="wps">
            <w:drawing>
              <wp:anchor distT="45720" distB="45720" distL="114300" distR="114300" simplePos="0" relativeHeight="251678720" behindDoc="0" locked="0" layoutInCell="1" allowOverlap="1" wp14:anchorId="5CAD0B0E" wp14:editId="323BAC24">
                <wp:simplePos x="0" y="0"/>
                <wp:positionH relativeFrom="column">
                  <wp:posOffset>5377180</wp:posOffset>
                </wp:positionH>
                <wp:positionV relativeFrom="paragraph">
                  <wp:posOffset>9525</wp:posOffset>
                </wp:positionV>
                <wp:extent cx="17545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404620"/>
                        </a:xfrm>
                        <a:prstGeom prst="rect">
                          <a:avLst/>
                        </a:prstGeom>
                        <a:noFill/>
                        <a:ln w="9525">
                          <a:noFill/>
                          <a:miter lim="800000"/>
                          <a:headEnd/>
                          <a:tailEnd/>
                        </a:ln>
                      </wps:spPr>
                      <wps:txbx>
                        <w:txbxContent>
                          <w:p w14:paraId="66A676C8" w14:textId="331E6137" w:rsidR="003322D1" w:rsidRPr="003866AB" w:rsidRDefault="00BC3D51" w:rsidP="004C7DB9">
                            <w:pPr>
                              <w:jc w:val="right"/>
                              <w:rPr>
                                <w:rStyle w:val="IntenseReference"/>
                                <w:color w:val="00345E" w:themeColor="text2"/>
                              </w:rPr>
                            </w:pPr>
                            <w:r>
                              <w:rPr>
                                <w:rStyle w:val="IntenseReference"/>
                                <w:color w:val="00345E" w:themeColor="text2"/>
                              </w:rPr>
                              <w:t xml:space="preserve">April </w:t>
                            </w:r>
                            <w:r w:rsidR="00925D71">
                              <w:rPr>
                                <w:rStyle w:val="IntenseReference"/>
                                <w:color w:val="00345E" w:themeColor="text2"/>
                              </w:rPr>
                              <w:t>9</w:t>
                            </w:r>
                            <w:r>
                              <w:rPr>
                                <w:rStyle w:val="IntenseReference"/>
                                <w:color w:val="00345E" w:themeColor="text2"/>
                              </w:rPr>
                              <w:t>,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AD0B0E" id="_x0000_t202" coordsize="21600,21600" o:spt="202" path="m,l,21600r21600,l21600,xe">
                <v:stroke joinstyle="miter"/>
                <v:path gradientshapeok="t" o:connecttype="rect"/>
              </v:shapetype>
              <v:shape id="Text Box 2" o:spid="_x0000_s1026" type="#_x0000_t202" style="position:absolute;margin-left:423.4pt;margin-top:.75pt;width:138.1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" filled="f" stroked="f">
                <v:textbox style="mso-fit-shape-to-text:t">
                  <w:txbxContent>
                    <w:p w14:paraId="66A676C8" w14:textId="331E6137" w:rsidR="003322D1" w:rsidRPr="003866AB" w:rsidRDefault="00BC3D51" w:rsidP="004C7DB9">
                      <w:pPr>
                        <w:jc w:val="right"/>
                        <w:rPr>
                          <w:rStyle w:val="IntenseReference"/>
                          <w:color w:val="00345E" w:themeColor="text2"/>
                        </w:rPr>
                      </w:pPr>
                      <w:r>
                        <w:rPr>
                          <w:rStyle w:val="IntenseReference"/>
                          <w:color w:val="00345E" w:themeColor="text2"/>
                        </w:rPr>
                        <w:t xml:space="preserve">April </w:t>
                      </w:r>
                      <w:r w:rsidR="00925D71">
                        <w:rPr>
                          <w:rStyle w:val="IntenseReference"/>
                          <w:color w:val="00345E" w:themeColor="text2"/>
                        </w:rPr>
                        <w:t>9</w:t>
                      </w:r>
                      <w:r>
                        <w:rPr>
                          <w:rStyle w:val="IntenseReference"/>
                          <w:color w:val="00345E" w:themeColor="text2"/>
                        </w:rPr>
                        <w:t>, 2020</w:t>
                      </w:r>
                    </w:p>
                  </w:txbxContent>
                </v:textbox>
                <w10:wrap type="square"/>
              </v:shape>
            </w:pict>
          </mc:Fallback>
        </mc:AlternateContent>
      </w:r>
    </w:p>
    <w:p w14:paraId="68FBE114" w14:textId="3B82FF13" w:rsidR="006A647C" w:rsidRDefault="00BC3D51" w:rsidP="001A78D6">
      <w:bookmarkStart w:id="0" w:name="_Hlk529736535"/>
      <w:bookmarkEnd w:id="0"/>
      <w:r w:rsidRPr="002C1B5D">
        <w:rPr>
          <w:rStyle w:val="HeadingallcapsRF"/>
          <w:noProof/>
        </w:rPr>
        <w:drawing>
          <wp:anchor distT="0" distB="0" distL="114300" distR="114300" simplePos="0" relativeHeight="251711488" behindDoc="0" locked="0" layoutInCell="1" allowOverlap="1" wp14:anchorId="63FF4651" wp14:editId="4E189102">
            <wp:simplePos x="0" y="0"/>
            <wp:positionH relativeFrom="margin">
              <wp:posOffset>-90170</wp:posOffset>
            </wp:positionH>
            <wp:positionV relativeFrom="paragraph">
              <wp:posOffset>273685</wp:posOffset>
            </wp:positionV>
            <wp:extent cx="1433195" cy="158115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pher_150115_9667.jpg"/>
                    <pic:cNvPicPr/>
                  </pic:nvPicPr>
                  <pic:blipFill rotWithShape="1">
                    <a:blip r:embed="rId8"/>
                    <a:srcRect t="2976" b="7737"/>
                    <a:stretch/>
                  </pic:blipFill>
                  <pic:spPr bwMode="auto">
                    <a:xfrm>
                      <a:off x="0" y="0"/>
                      <a:ext cx="1433195"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D301BD" w14:textId="03750665" w:rsidR="00FF2F5A" w:rsidRDefault="00715050" w:rsidP="00FF2F5A">
      <w:pPr>
        <w:spacing w:afterLines="120" w:after="288" w:line="24" w:lineRule="atLeast"/>
        <w:contextualSpacing/>
        <w:rPr>
          <w:rStyle w:val="HeadingallcapsRF"/>
          <w:noProof/>
        </w:rPr>
      </w:pPr>
      <w:r w:rsidRPr="002C1B5D">
        <w:rPr>
          <w:rStyle w:val="HeadingallcapsRF"/>
          <w:noProof/>
        </w:rPr>
        <mc:AlternateContent>
          <mc:Choice Requires="wps">
            <w:drawing>
              <wp:anchor distT="0" distB="0" distL="114300" distR="114300" simplePos="0" relativeHeight="251705344" behindDoc="0" locked="0" layoutInCell="1" allowOverlap="1" wp14:anchorId="5EE5C994" wp14:editId="30731526">
                <wp:simplePos x="0" y="0"/>
                <wp:positionH relativeFrom="margin">
                  <wp:align>left</wp:align>
                </wp:positionH>
                <wp:positionV relativeFrom="paragraph">
                  <wp:posOffset>93980</wp:posOffset>
                </wp:positionV>
                <wp:extent cx="1531620" cy="7924800"/>
                <wp:effectExtent l="0" t="0" r="0" b="0"/>
                <wp:wrapTight wrapText="bothSides">
                  <wp:wrapPolygon edited="1">
                    <wp:start x="0" y="0"/>
                    <wp:lineTo x="0" y="22464"/>
                    <wp:lineTo x="21600" y="22464"/>
                    <wp:lineTo x="21600" y="0"/>
                    <wp:lineTo x="0" y="0"/>
                  </wp:wrapPolygon>
                </wp:wrapTight>
                <wp:docPr id="21" name="Rectangle 21"/>
                <wp:cNvGraphicFramePr/>
                <a:graphic xmlns:a="http://schemas.openxmlformats.org/drawingml/2006/main">
                  <a:graphicData uri="http://schemas.microsoft.com/office/word/2010/wordprocessingShape">
                    <wps:wsp>
                      <wps:cNvSpPr/>
                      <wps:spPr>
                        <a:xfrm>
                          <a:off x="0" y="0"/>
                          <a:ext cx="1531620" cy="79248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5368B" id="Rectangle 21" o:spid="_x0000_s1026" style="position:absolute;margin-left:0;margin-top:7.4pt;width:120.6pt;height:624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wrapcoords="0 0 0 22464 21600 22464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" fillcolor="white [3212]" stroked="f">
                <w10:wrap type="tight" anchorx="margin"/>
              </v:rect>
            </w:pict>
          </mc:Fallback>
        </mc:AlternateContent>
      </w:r>
      <w:r w:rsidR="00BC3D51" w:rsidRPr="00BC3D51">
        <w:rPr>
          <w:rStyle w:val="HeadingallcapsRF"/>
          <w:noProof/>
        </w:rPr>
        <w:t>A Quarter to Remember…   Just Not Fondly</w:t>
      </w:r>
    </w:p>
    <w:p w14:paraId="27E4DB5C" w14:textId="77777777" w:rsidR="00BC3D51" w:rsidRPr="00BC3D51" w:rsidRDefault="00BC3D51" w:rsidP="00BF24B8">
      <w:pPr>
        <w:rPr>
          <w:rFonts w:eastAsia="Times New Roman"/>
          <w:i/>
          <w:color w:val="1595D3" w:themeColor="accent1"/>
        </w:rPr>
      </w:pPr>
    </w:p>
    <w:p w14:paraId="130A9B26" w14:textId="5EFC187C" w:rsidR="00BC3D51" w:rsidRDefault="00BF24B8" w:rsidP="00BC3D51">
      <w:r w:rsidRPr="00D66AC8">
        <w:rPr>
          <w:noProof/>
        </w:rPr>
        <mc:AlternateContent>
          <mc:Choice Requires="wps">
            <w:drawing>
              <wp:anchor distT="0" distB="0" distL="114300" distR="114300" simplePos="0" relativeHeight="251744256" behindDoc="0" locked="0" layoutInCell="1" allowOverlap="1" wp14:anchorId="49FF193D" wp14:editId="6014028B">
                <wp:simplePos x="0" y="0"/>
                <wp:positionH relativeFrom="margin">
                  <wp:posOffset>-204470</wp:posOffset>
                </wp:positionH>
                <wp:positionV relativeFrom="paragraph">
                  <wp:posOffset>1161415</wp:posOffset>
                </wp:positionV>
                <wp:extent cx="1752600" cy="66770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677025"/>
                        </a:xfrm>
                        <a:prstGeom prst="rect">
                          <a:avLst/>
                        </a:prstGeom>
                        <a:noFill/>
                        <a:ln w="9525">
                          <a:noFill/>
                          <a:miter lim="800000"/>
                          <a:headEnd/>
                          <a:tailEnd/>
                        </a:ln>
                      </wps:spPr>
                      <wps:txbx>
                        <w:txbxContent>
                          <w:p w14:paraId="1B5D1BBF" w14:textId="77777777" w:rsidR="00BC3D51" w:rsidRPr="00A648BC" w:rsidRDefault="00BC3D51" w:rsidP="00BC3D51">
                            <w:pPr>
                              <w:pStyle w:val="Title"/>
                            </w:pPr>
                            <w:r>
                              <w:t>Doug Sandler</w:t>
                            </w:r>
                            <w:r w:rsidRPr="00A648BC">
                              <w:t>, CFA</w:t>
                            </w:r>
                            <w:r w:rsidRPr="00A648BC">
                              <w:rPr>
                                <w:vertAlign w:val="superscript"/>
                              </w:rPr>
                              <w:t>®</w:t>
                            </w:r>
                          </w:p>
                          <w:p w14:paraId="5DFE1D84" w14:textId="77777777" w:rsidR="00BC3D51" w:rsidRDefault="00BC3D51" w:rsidP="00BC3D51">
                            <w:pPr>
                              <w:widowControl w:val="0"/>
                              <w:autoSpaceDE w:val="0"/>
                              <w:autoSpaceDN w:val="0"/>
                              <w:adjustRightInd w:val="0"/>
                              <w:spacing w:after="0"/>
                              <w:textAlignment w:val="center"/>
                              <w:outlineLvl w:val="3"/>
                              <w:rPr>
                                <w:rStyle w:val="SubtleEmphasis"/>
                              </w:rPr>
                            </w:pPr>
                            <w:r>
                              <w:rPr>
                                <w:rStyle w:val="SubtleEmphasis"/>
                              </w:rPr>
                              <w:t>HEAD OF GLOBAL STRATEGY</w:t>
                            </w:r>
                          </w:p>
                          <w:p w14:paraId="5A4C4EBC" w14:textId="77777777" w:rsidR="00BC3D51" w:rsidRDefault="00BC3D51" w:rsidP="00C905AC">
                            <w:pPr>
                              <w:pStyle w:val="Title"/>
                            </w:pPr>
                          </w:p>
                          <w:p w14:paraId="6014A27E" w14:textId="78BF3474" w:rsidR="00A648BC" w:rsidRPr="00A648BC" w:rsidRDefault="00D66AC8" w:rsidP="00C905AC">
                            <w:pPr>
                              <w:pStyle w:val="Title"/>
                            </w:pPr>
                            <w:r>
                              <w:t>Kevin Nicholson</w:t>
                            </w:r>
                            <w:r w:rsidR="00A648BC" w:rsidRPr="00A648BC">
                              <w:t>, CFA</w:t>
                            </w:r>
                            <w:r w:rsidR="00A648BC" w:rsidRPr="00A648BC">
                              <w:rPr>
                                <w:vertAlign w:val="superscript"/>
                              </w:rPr>
                              <w:t>®</w:t>
                            </w:r>
                          </w:p>
                          <w:p w14:paraId="12AAA25A" w14:textId="4CCE93DA" w:rsidR="00A648BC" w:rsidRDefault="00D66AC8" w:rsidP="00A648BC">
                            <w:pPr>
                              <w:widowControl w:val="0"/>
                              <w:autoSpaceDE w:val="0"/>
                              <w:autoSpaceDN w:val="0"/>
                              <w:adjustRightInd w:val="0"/>
                              <w:spacing w:after="0"/>
                              <w:textAlignment w:val="center"/>
                              <w:outlineLvl w:val="3"/>
                              <w:rPr>
                                <w:rStyle w:val="SubtleEmphasis"/>
                              </w:rPr>
                            </w:pPr>
                            <w:r>
                              <w:rPr>
                                <w:rStyle w:val="SubtleEmphasis"/>
                              </w:rPr>
                              <w:t>CHIEF MARKET STRATEGIST</w:t>
                            </w:r>
                          </w:p>
                          <w:p w14:paraId="2C0AF780" w14:textId="3BC5B328" w:rsidR="00C469C0" w:rsidRDefault="00C469C0" w:rsidP="00A648BC">
                            <w:pPr>
                              <w:widowControl w:val="0"/>
                              <w:autoSpaceDE w:val="0"/>
                              <w:autoSpaceDN w:val="0"/>
                              <w:adjustRightInd w:val="0"/>
                              <w:spacing w:after="0"/>
                              <w:textAlignment w:val="center"/>
                              <w:outlineLvl w:val="3"/>
                              <w:rPr>
                                <w:rStyle w:val="SubtleEmphasis"/>
                              </w:rPr>
                            </w:pPr>
                          </w:p>
                          <w:p w14:paraId="278AAA61" w14:textId="315B6D86" w:rsidR="00C469C0" w:rsidRPr="00A648BC" w:rsidRDefault="00C469C0" w:rsidP="00C469C0">
                            <w:pPr>
                              <w:pStyle w:val="Title"/>
                            </w:pPr>
                            <w:r>
                              <w:t>Chris Konstantinos</w:t>
                            </w:r>
                            <w:r w:rsidRPr="00A648BC">
                              <w:t>, CFA</w:t>
                            </w:r>
                            <w:r w:rsidRPr="00A648BC">
                              <w:rPr>
                                <w:vertAlign w:val="superscript"/>
                              </w:rPr>
                              <w:t>®</w:t>
                            </w:r>
                          </w:p>
                          <w:p w14:paraId="0DB72528" w14:textId="51CDCBFC" w:rsidR="00C469C0" w:rsidRDefault="00C469C0" w:rsidP="00C469C0">
                            <w:pPr>
                              <w:widowControl w:val="0"/>
                              <w:autoSpaceDE w:val="0"/>
                              <w:autoSpaceDN w:val="0"/>
                              <w:adjustRightInd w:val="0"/>
                              <w:spacing w:after="0"/>
                              <w:textAlignment w:val="center"/>
                              <w:outlineLvl w:val="3"/>
                              <w:rPr>
                                <w:rStyle w:val="SubtleEmphasis"/>
                              </w:rPr>
                            </w:pPr>
                            <w:r>
                              <w:rPr>
                                <w:rStyle w:val="SubtleEmphasis"/>
                              </w:rPr>
                              <w:t>CHIEF INVESTMENT STRATEGIST</w:t>
                            </w:r>
                          </w:p>
                          <w:p w14:paraId="0414EE10" w14:textId="0DDA5D2B" w:rsidR="00193C8A" w:rsidRDefault="00193C8A" w:rsidP="00AD25C9">
                            <w:pPr>
                              <w:widowControl w:val="0"/>
                              <w:autoSpaceDE w:val="0"/>
                              <w:autoSpaceDN w:val="0"/>
                              <w:adjustRightInd w:val="0"/>
                              <w:spacing w:after="0"/>
                              <w:textAlignment w:val="center"/>
                              <w:outlineLvl w:val="3"/>
                              <w:rPr>
                                <w:rStyle w:val="SubtleEmphasis"/>
                              </w:rPr>
                            </w:pPr>
                          </w:p>
                          <w:p w14:paraId="43513EBC" w14:textId="77777777" w:rsidR="007D53DF" w:rsidRPr="00A648BC" w:rsidRDefault="007D53DF" w:rsidP="007D53DF">
                            <w:pPr>
                              <w:pStyle w:val="Title"/>
                            </w:pPr>
                            <w:r>
                              <w:t>Rebecca Felton</w:t>
                            </w:r>
                          </w:p>
                          <w:p w14:paraId="1EE098BA" w14:textId="77777777" w:rsidR="007D53DF" w:rsidRDefault="007D53DF" w:rsidP="007D53DF">
                            <w:pPr>
                              <w:widowControl w:val="0"/>
                              <w:autoSpaceDE w:val="0"/>
                              <w:autoSpaceDN w:val="0"/>
                              <w:adjustRightInd w:val="0"/>
                              <w:spacing w:after="0"/>
                              <w:textAlignment w:val="center"/>
                              <w:outlineLvl w:val="3"/>
                              <w:rPr>
                                <w:rStyle w:val="SubtleEmphasis"/>
                              </w:rPr>
                            </w:pPr>
                            <w:r>
                              <w:rPr>
                                <w:rStyle w:val="SubtleEmphasis"/>
                              </w:rPr>
                              <w:t>CHIEF RISK OFFICER</w:t>
                            </w:r>
                          </w:p>
                          <w:p w14:paraId="294FD6A9" w14:textId="77777777" w:rsidR="007D53DF" w:rsidRPr="00A648BC" w:rsidRDefault="007D53DF" w:rsidP="007D53DF">
                            <w:pPr>
                              <w:widowControl w:val="0"/>
                              <w:autoSpaceDE w:val="0"/>
                              <w:autoSpaceDN w:val="0"/>
                              <w:adjustRightInd w:val="0"/>
                              <w:spacing w:after="0"/>
                              <w:textAlignment w:val="center"/>
                              <w:outlineLvl w:val="3"/>
                              <w:rPr>
                                <w:rStyle w:val="SubtleEmphasis"/>
                              </w:rPr>
                            </w:pPr>
                          </w:p>
                          <w:p w14:paraId="76EAE8FC" w14:textId="77777777" w:rsidR="007D53DF" w:rsidRPr="00A648BC" w:rsidRDefault="007D53DF" w:rsidP="007D53DF">
                            <w:pPr>
                              <w:pStyle w:val="Title"/>
                            </w:pPr>
                            <w:r>
                              <w:t>Rob Glownia</w:t>
                            </w:r>
                            <w:r w:rsidRPr="00A648BC">
                              <w:t>, CFA</w:t>
                            </w:r>
                            <w:r w:rsidRPr="00A648BC">
                              <w:rPr>
                                <w:vertAlign w:val="superscript"/>
                              </w:rPr>
                              <w:t>®</w:t>
                            </w:r>
                          </w:p>
                          <w:p w14:paraId="2CF8F25A" w14:textId="77777777" w:rsidR="007D53DF" w:rsidRDefault="007D53DF" w:rsidP="007D53DF">
                            <w:pPr>
                              <w:widowControl w:val="0"/>
                              <w:autoSpaceDE w:val="0"/>
                              <w:autoSpaceDN w:val="0"/>
                              <w:adjustRightInd w:val="0"/>
                              <w:spacing w:after="0"/>
                              <w:textAlignment w:val="center"/>
                              <w:outlineLvl w:val="3"/>
                              <w:rPr>
                                <w:rStyle w:val="SubtleEmphasis"/>
                              </w:rPr>
                            </w:pPr>
                            <w:r>
                              <w:rPr>
                                <w:rStyle w:val="SubtleEmphasis"/>
                              </w:rPr>
                              <w:t>SENIOR PORTFOLIO MANAGER</w:t>
                            </w:r>
                          </w:p>
                          <w:p w14:paraId="65762243" w14:textId="77777777" w:rsidR="007D53DF" w:rsidRDefault="007D53DF" w:rsidP="007D53DF">
                            <w:pPr>
                              <w:widowControl w:val="0"/>
                              <w:autoSpaceDE w:val="0"/>
                              <w:autoSpaceDN w:val="0"/>
                              <w:adjustRightInd w:val="0"/>
                              <w:spacing w:after="0"/>
                              <w:textAlignment w:val="center"/>
                              <w:outlineLvl w:val="3"/>
                              <w:rPr>
                                <w:rStyle w:val="SubtleEmphasis"/>
                              </w:rPr>
                            </w:pPr>
                          </w:p>
                          <w:p w14:paraId="000D4DB1" w14:textId="77777777" w:rsidR="007D53DF" w:rsidRPr="00A648BC" w:rsidRDefault="007D53DF" w:rsidP="007D53DF">
                            <w:pPr>
                              <w:pStyle w:val="Title"/>
                            </w:pPr>
                            <w:r>
                              <w:t>Rod Smyth</w:t>
                            </w:r>
                          </w:p>
                          <w:p w14:paraId="196A419D" w14:textId="79C811DF" w:rsidR="007D53DF" w:rsidRDefault="007D53DF" w:rsidP="007D53DF">
                            <w:pPr>
                              <w:widowControl w:val="0"/>
                              <w:autoSpaceDE w:val="0"/>
                              <w:autoSpaceDN w:val="0"/>
                              <w:adjustRightInd w:val="0"/>
                              <w:spacing w:after="0"/>
                              <w:textAlignment w:val="center"/>
                              <w:outlineLvl w:val="3"/>
                              <w:rPr>
                                <w:rStyle w:val="SubtleEmphasis"/>
                              </w:rPr>
                            </w:pPr>
                            <w:r>
                              <w:rPr>
                                <w:rStyle w:val="SubtleEmphasis"/>
                              </w:rPr>
                              <w:t>DIRECTOR OF INVESTMENTS</w:t>
                            </w:r>
                          </w:p>
                          <w:p w14:paraId="0B628F60" w14:textId="5F2316FC" w:rsidR="001A78D6" w:rsidRDefault="001A78D6" w:rsidP="007D53DF">
                            <w:pPr>
                              <w:widowControl w:val="0"/>
                              <w:autoSpaceDE w:val="0"/>
                              <w:autoSpaceDN w:val="0"/>
                              <w:adjustRightInd w:val="0"/>
                              <w:spacing w:after="0"/>
                              <w:textAlignment w:val="center"/>
                              <w:outlineLvl w:val="3"/>
                              <w:rPr>
                                <w:rStyle w:val="SubtleEmphasis"/>
                              </w:rPr>
                            </w:pPr>
                          </w:p>
                          <w:p w14:paraId="6035BBD4" w14:textId="08739EA4" w:rsidR="001A78D6" w:rsidRDefault="001A78D6" w:rsidP="007D53DF">
                            <w:pPr>
                              <w:widowControl w:val="0"/>
                              <w:autoSpaceDE w:val="0"/>
                              <w:autoSpaceDN w:val="0"/>
                              <w:adjustRightInd w:val="0"/>
                              <w:spacing w:after="0"/>
                              <w:textAlignment w:val="center"/>
                              <w:outlineLvl w:val="3"/>
                              <w:rPr>
                                <w:rStyle w:val="SubtleEmphasis"/>
                              </w:rPr>
                            </w:pPr>
                          </w:p>
                          <w:p w14:paraId="6BD7A7CB" w14:textId="77777777" w:rsidR="001A78D6" w:rsidRPr="004C7DB9" w:rsidRDefault="001A78D6" w:rsidP="001A78D6">
                            <w:pPr>
                              <w:rPr>
                                <w:b/>
                                <w:color w:val="00345E" w:themeColor="text2"/>
                                <w:sz w:val="20"/>
                                <w:szCs w:val="20"/>
                              </w:rPr>
                            </w:pPr>
                          </w:p>
                          <w:p w14:paraId="5699BF43" w14:textId="77777777" w:rsidR="001A78D6" w:rsidRDefault="001A78D6" w:rsidP="007D53DF">
                            <w:pPr>
                              <w:widowControl w:val="0"/>
                              <w:autoSpaceDE w:val="0"/>
                              <w:autoSpaceDN w:val="0"/>
                              <w:adjustRightInd w:val="0"/>
                              <w:spacing w:after="0"/>
                              <w:textAlignment w:val="center"/>
                              <w:outlineLvl w:val="3"/>
                              <w:rPr>
                                <w:rStyle w:val="SubtleEmphasis"/>
                              </w:rPr>
                            </w:pPr>
                          </w:p>
                          <w:p w14:paraId="1C63F45D" w14:textId="77777777" w:rsidR="007D53DF" w:rsidRDefault="007D53DF" w:rsidP="007D53DF">
                            <w:pPr>
                              <w:widowControl w:val="0"/>
                              <w:autoSpaceDE w:val="0"/>
                              <w:autoSpaceDN w:val="0"/>
                              <w:adjustRightInd w:val="0"/>
                              <w:spacing w:after="0"/>
                              <w:textAlignment w:val="center"/>
                              <w:outlineLvl w:val="3"/>
                              <w:rPr>
                                <w:rStyle w:val="SubtleEmphasis"/>
                              </w:rPr>
                            </w:pPr>
                          </w:p>
                          <w:p w14:paraId="0D34F2BF" w14:textId="77777777" w:rsidR="007D53DF" w:rsidRDefault="007D53DF" w:rsidP="00AD25C9">
                            <w:pPr>
                              <w:widowControl w:val="0"/>
                              <w:autoSpaceDE w:val="0"/>
                              <w:autoSpaceDN w:val="0"/>
                              <w:adjustRightInd w:val="0"/>
                              <w:spacing w:after="0"/>
                              <w:textAlignment w:val="center"/>
                              <w:outlineLvl w:val="3"/>
                              <w:rPr>
                                <w:rStyle w:val="SubtleEmphasis"/>
                              </w:rPr>
                            </w:pPr>
                          </w:p>
                          <w:p w14:paraId="3B82C138" w14:textId="77777777" w:rsidR="00193C8A" w:rsidRDefault="00193C8A" w:rsidP="00193C8A">
                            <w:pPr>
                              <w:widowControl w:val="0"/>
                              <w:autoSpaceDE w:val="0"/>
                              <w:autoSpaceDN w:val="0"/>
                              <w:adjustRightInd w:val="0"/>
                              <w:spacing w:after="0"/>
                              <w:textAlignment w:val="center"/>
                              <w:outlineLvl w:val="3"/>
                              <w:rPr>
                                <w:rStyle w:val="SubtleEmphasis"/>
                              </w:rPr>
                            </w:pPr>
                          </w:p>
                          <w:p w14:paraId="1CDBB7E3" w14:textId="77777777" w:rsidR="00C824BB" w:rsidRDefault="00C824BB" w:rsidP="00FF20DB">
                            <w:pPr>
                              <w:widowControl w:val="0"/>
                              <w:autoSpaceDE w:val="0"/>
                              <w:autoSpaceDN w:val="0"/>
                              <w:adjustRightInd w:val="0"/>
                              <w:spacing w:after="0"/>
                              <w:textAlignment w:val="center"/>
                              <w:outlineLvl w:val="3"/>
                              <w:rPr>
                                <w:rStyle w:val="SubtleEmphasis"/>
                              </w:rPr>
                            </w:pPr>
                          </w:p>
                          <w:p w14:paraId="372B25CD" w14:textId="77777777" w:rsidR="00C824BB" w:rsidRDefault="00C824BB" w:rsidP="00FF20DB">
                            <w:pPr>
                              <w:widowControl w:val="0"/>
                              <w:autoSpaceDE w:val="0"/>
                              <w:autoSpaceDN w:val="0"/>
                              <w:adjustRightInd w:val="0"/>
                              <w:spacing w:after="0"/>
                              <w:textAlignment w:val="center"/>
                              <w:outlineLvl w:val="3"/>
                              <w:rPr>
                                <w:rStyle w:val="SubtleEmphasis"/>
                              </w:rPr>
                            </w:pPr>
                          </w:p>
                          <w:p w14:paraId="2EF7CE8E" w14:textId="77777777" w:rsidR="00FF20DB" w:rsidRPr="00A648BC" w:rsidRDefault="00FF20DB" w:rsidP="00FF20DB">
                            <w:pPr>
                              <w:widowControl w:val="0"/>
                              <w:autoSpaceDE w:val="0"/>
                              <w:autoSpaceDN w:val="0"/>
                              <w:adjustRightInd w:val="0"/>
                              <w:spacing w:after="0"/>
                              <w:textAlignment w:val="center"/>
                              <w:outlineLvl w:val="3"/>
                              <w:rPr>
                                <w:rStyle w:val="SubtleEmphasis"/>
                              </w:rPr>
                            </w:pPr>
                          </w:p>
                          <w:p w14:paraId="310B914F" w14:textId="0BC9C58C" w:rsidR="00C469C0" w:rsidRDefault="00C469C0" w:rsidP="00C469C0"/>
                          <w:p w14:paraId="56AC494D" w14:textId="2A84E6B7" w:rsidR="00B33D93" w:rsidRDefault="00B33D93" w:rsidP="00C469C0"/>
                          <w:p w14:paraId="4793C8DB" w14:textId="0B8D5340" w:rsidR="00B33D93" w:rsidRDefault="00B33D93" w:rsidP="00C469C0"/>
                          <w:p w14:paraId="47BF81FC" w14:textId="18EA822E" w:rsidR="00B33D93" w:rsidRDefault="00B33D93" w:rsidP="00C469C0"/>
                          <w:p w14:paraId="7790EC2F" w14:textId="0DC1C03D" w:rsidR="00B33D93" w:rsidRDefault="00B33D93" w:rsidP="00C469C0"/>
                          <w:p w14:paraId="5CF88CB2" w14:textId="463A6CC5" w:rsidR="00B33D93" w:rsidRDefault="00B33D93" w:rsidP="00C469C0"/>
                          <w:p w14:paraId="4A6B8ED1" w14:textId="1B52CC2F" w:rsidR="00B33D93" w:rsidRDefault="00B33D93" w:rsidP="00C469C0"/>
                          <w:p w14:paraId="526FDBE6" w14:textId="2853E292" w:rsidR="00B33D93" w:rsidRDefault="00B33D93" w:rsidP="00C469C0"/>
                          <w:p w14:paraId="3527B09D" w14:textId="4EAF4C01" w:rsidR="00B33D93" w:rsidRDefault="00B33D93" w:rsidP="00C469C0"/>
                          <w:p w14:paraId="36039B74" w14:textId="436F89DB" w:rsidR="00B33D93" w:rsidRDefault="00B33D93" w:rsidP="00C469C0"/>
                          <w:p w14:paraId="290872CC" w14:textId="77777777" w:rsidR="00B33D93" w:rsidRPr="00A648BC" w:rsidRDefault="00B33D93" w:rsidP="00C469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F193D" id="_x0000_s1027" type="#_x0000_t202" style="position:absolute;margin-left:-16.1pt;margin-top:91.45pt;width:138pt;height:525.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" filled="f" stroked="f">
                <v:textbox>
                  <w:txbxContent>
                    <w:p w14:paraId="1B5D1BBF" w14:textId="77777777" w:rsidR="00BC3D51" w:rsidRPr="00A648BC" w:rsidRDefault="00BC3D51" w:rsidP="00BC3D51">
                      <w:pPr>
                        <w:pStyle w:val="Title"/>
                      </w:pPr>
                      <w:r>
                        <w:t>Doug Sandler</w:t>
                      </w:r>
                      <w:r w:rsidRPr="00A648BC">
                        <w:t>, CFA</w:t>
                      </w:r>
                      <w:r w:rsidRPr="00A648BC">
                        <w:rPr>
                          <w:vertAlign w:val="superscript"/>
                        </w:rPr>
                        <w:t>®</w:t>
                      </w:r>
                    </w:p>
                    <w:p w14:paraId="5DFE1D84" w14:textId="77777777" w:rsidR="00BC3D51" w:rsidRDefault="00BC3D51" w:rsidP="00BC3D51">
                      <w:pPr>
                        <w:widowControl w:val="0"/>
                        <w:autoSpaceDE w:val="0"/>
                        <w:autoSpaceDN w:val="0"/>
                        <w:adjustRightInd w:val="0"/>
                        <w:spacing w:after="0"/>
                        <w:textAlignment w:val="center"/>
                        <w:outlineLvl w:val="3"/>
                        <w:rPr>
                          <w:rStyle w:val="SubtleEmphasis"/>
                        </w:rPr>
                      </w:pPr>
                      <w:r>
                        <w:rPr>
                          <w:rStyle w:val="SubtleEmphasis"/>
                        </w:rPr>
                        <w:t>HEAD OF GLOBAL STRATEGY</w:t>
                      </w:r>
                    </w:p>
                    <w:p w14:paraId="5A4C4EBC" w14:textId="77777777" w:rsidR="00BC3D51" w:rsidRDefault="00BC3D51" w:rsidP="00C905AC">
                      <w:pPr>
                        <w:pStyle w:val="Title"/>
                      </w:pPr>
                    </w:p>
                    <w:p w14:paraId="6014A27E" w14:textId="78BF3474" w:rsidR="00A648BC" w:rsidRPr="00A648BC" w:rsidRDefault="00D66AC8" w:rsidP="00C905AC">
                      <w:pPr>
                        <w:pStyle w:val="Title"/>
                      </w:pPr>
                      <w:r>
                        <w:t>Kevin Nicholson</w:t>
                      </w:r>
                      <w:r w:rsidR="00A648BC" w:rsidRPr="00A648BC">
                        <w:t>, CFA</w:t>
                      </w:r>
                      <w:r w:rsidR="00A648BC" w:rsidRPr="00A648BC">
                        <w:rPr>
                          <w:vertAlign w:val="superscript"/>
                        </w:rPr>
                        <w:t>®</w:t>
                      </w:r>
                    </w:p>
                    <w:p w14:paraId="12AAA25A" w14:textId="4CCE93DA" w:rsidR="00A648BC" w:rsidRDefault="00D66AC8" w:rsidP="00A648BC">
                      <w:pPr>
                        <w:widowControl w:val="0"/>
                        <w:autoSpaceDE w:val="0"/>
                        <w:autoSpaceDN w:val="0"/>
                        <w:adjustRightInd w:val="0"/>
                        <w:spacing w:after="0"/>
                        <w:textAlignment w:val="center"/>
                        <w:outlineLvl w:val="3"/>
                        <w:rPr>
                          <w:rStyle w:val="SubtleEmphasis"/>
                        </w:rPr>
                      </w:pPr>
                      <w:r>
                        <w:rPr>
                          <w:rStyle w:val="SubtleEmphasis"/>
                        </w:rPr>
                        <w:t>CHIEF MARKET STRATEGIST</w:t>
                      </w:r>
                    </w:p>
                    <w:p w14:paraId="2C0AF780" w14:textId="3BC5B328" w:rsidR="00C469C0" w:rsidRDefault="00C469C0" w:rsidP="00A648BC">
                      <w:pPr>
                        <w:widowControl w:val="0"/>
                        <w:autoSpaceDE w:val="0"/>
                        <w:autoSpaceDN w:val="0"/>
                        <w:adjustRightInd w:val="0"/>
                        <w:spacing w:after="0"/>
                        <w:textAlignment w:val="center"/>
                        <w:outlineLvl w:val="3"/>
                        <w:rPr>
                          <w:rStyle w:val="SubtleEmphasis"/>
                        </w:rPr>
                      </w:pPr>
                    </w:p>
                    <w:p w14:paraId="278AAA61" w14:textId="315B6D86" w:rsidR="00C469C0" w:rsidRPr="00A648BC" w:rsidRDefault="00C469C0" w:rsidP="00C469C0">
                      <w:pPr>
                        <w:pStyle w:val="Title"/>
                      </w:pPr>
                      <w:r>
                        <w:t>Chris Konstantinos</w:t>
                      </w:r>
                      <w:r w:rsidRPr="00A648BC">
                        <w:t>, CFA</w:t>
                      </w:r>
                      <w:r w:rsidRPr="00A648BC">
                        <w:rPr>
                          <w:vertAlign w:val="superscript"/>
                        </w:rPr>
                        <w:t>®</w:t>
                      </w:r>
                    </w:p>
                    <w:p w14:paraId="0DB72528" w14:textId="51CDCBFC" w:rsidR="00C469C0" w:rsidRDefault="00C469C0" w:rsidP="00C469C0">
                      <w:pPr>
                        <w:widowControl w:val="0"/>
                        <w:autoSpaceDE w:val="0"/>
                        <w:autoSpaceDN w:val="0"/>
                        <w:adjustRightInd w:val="0"/>
                        <w:spacing w:after="0"/>
                        <w:textAlignment w:val="center"/>
                        <w:outlineLvl w:val="3"/>
                        <w:rPr>
                          <w:rStyle w:val="SubtleEmphasis"/>
                        </w:rPr>
                      </w:pPr>
                      <w:r>
                        <w:rPr>
                          <w:rStyle w:val="SubtleEmphasis"/>
                        </w:rPr>
                        <w:t>CHIEF INVESTMENT STRATEGIST</w:t>
                      </w:r>
                    </w:p>
                    <w:p w14:paraId="0414EE10" w14:textId="0DDA5D2B" w:rsidR="00193C8A" w:rsidRDefault="00193C8A" w:rsidP="00AD25C9">
                      <w:pPr>
                        <w:widowControl w:val="0"/>
                        <w:autoSpaceDE w:val="0"/>
                        <w:autoSpaceDN w:val="0"/>
                        <w:adjustRightInd w:val="0"/>
                        <w:spacing w:after="0"/>
                        <w:textAlignment w:val="center"/>
                        <w:outlineLvl w:val="3"/>
                        <w:rPr>
                          <w:rStyle w:val="SubtleEmphasis"/>
                        </w:rPr>
                      </w:pPr>
                    </w:p>
                    <w:p w14:paraId="43513EBC" w14:textId="77777777" w:rsidR="007D53DF" w:rsidRPr="00A648BC" w:rsidRDefault="007D53DF" w:rsidP="007D53DF">
                      <w:pPr>
                        <w:pStyle w:val="Title"/>
                      </w:pPr>
                      <w:r>
                        <w:t>Rebecca Felton</w:t>
                      </w:r>
                    </w:p>
                    <w:p w14:paraId="1EE098BA" w14:textId="77777777" w:rsidR="007D53DF" w:rsidRDefault="007D53DF" w:rsidP="007D53DF">
                      <w:pPr>
                        <w:widowControl w:val="0"/>
                        <w:autoSpaceDE w:val="0"/>
                        <w:autoSpaceDN w:val="0"/>
                        <w:adjustRightInd w:val="0"/>
                        <w:spacing w:after="0"/>
                        <w:textAlignment w:val="center"/>
                        <w:outlineLvl w:val="3"/>
                        <w:rPr>
                          <w:rStyle w:val="SubtleEmphasis"/>
                        </w:rPr>
                      </w:pPr>
                      <w:r>
                        <w:rPr>
                          <w:rStyle w:val="SubtleEmphasis"/>
                        </w:rPr>
                        <w:t>CHIEF RISK OFFICER</w:t>
                      </w:r>
                    </w:p>
                    <w:p w14:paraId="294FD6A9" w14:textId="77777777" w:rsidR="007D53DF" w:rsidRPr="00A648BC" w:rsidRDefault="007D53DF" w:rsidP="007D53DF">
                      <w:pPr>
                        <w:widowControl w:val="0"/>
                        <w:autoSpaceDE w:val="0"/>
                        <w:autoSpaceDN w:val="0"/>
                        <w:adjustRightInd w:val="0"/>
                        <w:spacing w:after="0"/>
                        <w:textAlignment w:val="center"/>
                        <w:outlineLvl w:val="3"/>
                        <w:rPr>
                          <w:rStyle w:val="SubtleEmphasis"/>
                        </w:rPr>
                      </w:pPr>
                    </w:p>
                    <w:p w14:paraId="76EAE8FC" w14:textId="77777777" w:rsidR="007D53DF" w:rsidRPr="00A648BC" w:rsidRDefault="007D53DF" w:rsidP="007D53DF">
                      <w:pPr>
                        <w:pStyle w:val="Title"/>
                      </w:pPr>
                      <w:r>
                        <w:t>Rob Glownia</w:t>
                      </w:r>
                      <w:r w:rsidRPr="00A648BC">
                        <w:t>, CFA</w:t>
                      </w:r>
                      <w:r w:rsidRPr="00A648BC">
                        <w:rPr>
                          <w:vertAlign w:val="superscript"/>
                        </w:rPr>
                        <w:t>®</w:t>
                      </w:r>
                    </w:p>
                    <w:p w14:paraId="2CF8F25A" w14:textId="77777777" w:rsidR="007D53DF" w:rsidRDefault="007D53DF" w:rsidP="007D53DF">
                      <w:pPr>
                        <w:widowControl w:val="0"/>
                        <w:autoSpaceDE w:val="0"/>
                        <w:autoSpaceDN w:val="0"/>
                        <w:adjustRightInd w:val="0"/>
                        <w:spacing w:after="0"/>
                        <w:textAlignment w:val="center"/>
                        <w:outlineLvl w:val="3"/>
                        <w:rPr>
                          <w:rStyle w:val="SubtleEmphasis"/>
                        </w:rPr>
                      </w:pPr>
                      <w:r>
                        <w:rPr>
                          <w:rStyle w:val="SubtleEmphasis"/>
                        </w:rPr>
                        <w:t>SENIOR PORTFOLIO MANAGER</w:t>
                      </w:r>
                    </w:p>
                    <w:p w14:paraId="65762243" w14:textId="77777777" w:rsidR="007D53DF" w:rsidRDefault="007D53DF" w:rsidP="007D53DF">
                      <w:pPr>
                        <w:widowControl w:val="0"/>
                        <w:autoSpaceDE w:val="0"/>
                        <w:autoSpaceDN w:val="0"/>
                        <w:adjustRightInd w:val="0"/>
                        <w:spacing w:after="0"/>
                        <w:textAlignment w:val="center"/>
                        <w:outlineLvl w:val="3"/>
                        <w:rPr>
                          <w:rStyle w:val="SubtleEmphasis"/>
                        </w:rPr>
                      </w:pPr>
                    </w:p>
                    <w:p w14:paraId="000D4DB1" w14:textId="77777777" w:rsidR="007D53DF" w:rsidRPr="00A648BC" w:rsidRDefault="007D53DF" w:rsidP="007D53DF">
                      <w:pPr>
                        <w:pStyle w:val="Title"/>
                      </w:pPr>
                      <w:r>
                        <w:t>Rod Smyth</w:t>
                      </w:r>
                    </w:p>
                    <w:p w14:paraId="196A419D" w14:textId="79C811DF" w:rsidR="007D53DF" w:rsidRDefault="007D53DF" w:rsidP="007D53DF">
                      <w:pPr>
                        <w:widowControl w:val="0"/>
                        <w:autoSpaceDE w:val="0"/>
                        <w:autoSpaceDN w:val="0"/>
                        <w:adjustRightInd w:val="0"/>
                        <w:spacing w:after="0"/>
                        <w:textAlignment w:val="center"/>
                        <w:outlineLvl w:val="3"/>
                        <w:rPr>
                          <w:rStyle w:val="SubtleEmphasis"/>
                        </w:rPr>
                      </w:pPr>
                      <w:r>
                        <w:rPr>
                          <w:rStyle w:val="SubtleEmphasis"/>
                        </w:rPr>
                        <w:t>DIRECTOR OF INVESTMENTS</w:t>
                      </w:r>
                    </w:p>
                    <w:p w14:paraId="0B628F60" w14:textId="5F2316FC" w:rsidR="001A78D6" w:rsidRDefault="001A78D6" w:rsidP="007D53DF">
                      <w:pPr>
                        <w:widowControl w:val="0"/>
                        <w:autoSpaceDE w:val="0"/>
                        <w:autoSpaceDN w:val="0"/>
                        <w:adjustRightInd w:val="0"/>
                        <w:spacing w:after="0"/>
                        <w:textAlignment w:val="center"/>
                        <w:outlineLvl w:val="3"/>
                        <w:rPr>
                          <w:rStyle w:val="SubtleEmphasis"/>
                        </w:rPr>
                      </w:pPr>
                    </w:p>
                    <w:p w14:paraId="6035BBD4" w14:textId="08739EA4" w:rsidR="001A78D6" w:rsidRDefault="001A78D6" w:rsidP="007D53DF">
                      <w:pPr>
                        <w:widowControl w:val="0"/>
                        <w:autoSpaceDE w:val="0"/>
                        <w:autoSpaceDN w:val="0"/>
                        <w:adjustRightInd w:val="0"/>
                        <w:spacing w:after="0"/>
                        <w:textAlignment w:val="center"/>
                        <w:outlineLvl w:val="3"/>
                        <w:rPr>
                          <w:rStyle w:val="SubtleEmphasis"/>
                        </w:rPr>
                      </w:pPr>
                    </w:p>
                    <w:p w14:paraId="6BD7A7CB" w14:textId="77777777" w:rsidR="001A78D6" w:rsidRPr="004C7DB9" w:rsidRDefault="001A78D6" w:rsidP="001A78D6">
                      <w:pPr>
                        <w:rPr>
                          <w:b/>
                          <w:color w:val="00345E" w:themeColor="text2"/>
                          <w:sz w:val="20"/>
                          <w:szCs w:val="20"/>
                        </w:rPr>
                      </w:pPr>
                    </w:p>
                    <w:p w14:paraId="5699BF43" w14:textId="77777777" w:rsidR="001A78D6" w:rsidRDefault="001A78D6" w:rsidP="007D53DF">
                      <w:pPr>
                        <w:widowControl w:val="0"/>
                        <w:autoSpaceDE w:val="0"/>
                        <w:autoSpaceDN w:val="0"/>
                        <w:adjustRightInd w:val="0"/>
                        <w:spacing w:after="0"/>
                        <w:textAlignment w:val="center"/>
                        <w:outlineLvl w:val="3"/>
                        <w:rPr>
                          <w:rStyle w:val="SubtleEmphasis"/>
                        </w:rPr>
                      </w:pPr>
                    </w:p>
                    <w:p w14:paraId="1C63F45D" w14:textId="77777777" w:rsidR="007D53DF" w:rsidRDefault="007D53DF" w:rsidP="007D53DF">
                      <w:pPr>
                        <w:widowControl w:val="0"/>
                        <w:autoSpaceDE w:val="0"/>
                        <w:autoSpaceDN w:val="0"/>
                        <w:adjustRightInd w:val="0"/>
                        <w:spacing w:after="0"/>
                        <w:textAlignment w:val="center"/>
                        <w:outlineLvl w:val="3"/>
                        <w:rPr>
                          <w:rStyle w:val="SubtleEmphasis"/>
                        </w:rPr>
                      </w:pPr>
                    </w:p>
                    <w:p w14:paraId="0D34F2BF" w14:textId="77777777" w:rsidR="007D53DF" w:rsidRDefault="007D53DF" w:rsidP="00AD25C9">
                      <w:pPr>
                        <w:widowControl w:val="0"/>
                        <w:autoSpaceDE w:val="0"/>
                        <w:autoSpaceDN w:val="0"/>
                        <w:adjustRightInd w:val="0"/>
                        <w:spacing w:after="0"/>
                        <w:textAlignment w:val="center"/>
                        <w:outlineLvl w:val="3"/>
                        <w:rPr>
                          <w:rStyle w:val="SubtleEmphasis"/>
                        </w:rPr>
                      </w:pPr>
                    </w:p>
                    <w:p w14:paraId="3B82C138" w14:textId="77777777" w:rsidR="00193C8A" w:rsidRDefault="00193C8A" w:rsidP="00193C8A">
                      <w:pPr>
                        <w:widowControl w:val="0"/>
                        <w:autoSpaceDE w:val="0"/>
                        <w:autoSpaceDN w:val="0"/>
                        <w:adjustRightInd w:val="0"/>
                        <w:spacing w:after="0"/>
                        <w:textAlignment w:val="center"/>
                        <w:outlineLvl w:val="3"/>
                        <w:rPr>
                          <w:rStyle w:val="SubtleEmphasis"/>
                        </w:rPr>
                      </w:pPr>
                    </w:p>
                    <w:p w14:paraId="1CDBB7E3" w14:textId="77777777" w:rsidR="00C824BB" w:rsidRDefault="00C824BB" w:rsidP="00FF20DB">
                      <w:pPr>
                        <w:widowControl w:val="0"/>
                        <w:autoSpaceDE w:val="0"/>
                        <w:autoSpaceDN w:val="0"/>
                        <w:adjustRightInd w:val="0"/>
                        <w:spacing w:after="0"/>
                        <w:textAlignment w:val="center"/>
                        <w:outlineLvl w:val="3"/>
                        <w:rPr>
                          <w:rStyle w:val="SubtleEmphasis"/>
                        </w:rPr>
                      </w:pPr>
                    </w:p>
                    <w:p w14:paraId="372B25CD" w14:textId="77777777" w:rsidR="00C824BB" w:rsidRDefault="00C824BB" w:rsidP="00FF20DB">
                      <w:pPr>
                        <w:widowControl w:val="0"/>
                        <w:autoSpaceDE w:val="0"/>
                        <w:autoSpaceDN w:val="0"/>
                        <w:adjustRightInd w:val="0"/>
                        <w:spacing w:after="0"/>
                        <w:textAlignment w:val="center"/>
                        <w:outlineLvl w:val="3"/>
                        <w:rPr>
                          <w:rStyle w:val="SubtleEmphasis"/>
                        </w:rPr>
                      </w:pPr>
                    </w:p>
                    <w:p w14:paraId="2EF7CE8E" w14:textId="77777777" w:rsidR="00FF20DB" w:rsidRPr="00A648BC" w:rsidRDefault="00FF20DB" w:rsidP="00FF20DB">
                      <w:pPr>
                        <w:widowControl w:val="0"/>
                        <w:autoSpaceDE w:val="0"/>
                        <w:autoSpaceDN w:val="0"/>
                        <w:adjustRightInd w:val="0"/>
                        <w:spacing w:after="0"/>
                        <w:textAlignment w:val="center"/>
                        <w:outlineLvl w:val="3"/>
                        <w:rPr>
                          <w:rStyle w:val="SubtleEmphasis"/>
                        </w:rPr>
                      </w:pPr>
                    </w:p>
                    <w:p w14:paraId="310B914F" w14:textId="0BC9C58C" w:rsidR="00C469C0" w:rsidRDefault="00C469C0" w:rsidP="00C469C0"/>
                    <w:p w14:paraId="56AC494D" w14:textId="2A84E6B7" w:rsidR="00B33D93" w:rsidRDefault="00B33D93" w:rsidP="00C469C0"/>
                    <w:p w14:paraId="4793C8DB" w14:textId="0B8D5340" w:rsidR="00B33D93" w:rsidRDefault="00B33D93" w:rsidP="00C469C0"/>
                    <w:p w14:paraId="47BF81FC" w14:textId="18EA822E" w:rsidR="00B33D93" w:rsidRDefault="00B33D93" w:rsidP="00C469C0"/>
                    <w:p w14:paraId="7790EC2F" w14:textId="0DC1C03D" w:rsidR="00B33D93" w:rsidRDefault="00B33D93" w:rsidP="00C469C0"/>
                    <w:p w14:paraId="5CF88CB2" w14:textId="463A6CC5" w:rsidR="00B33D93" w:rsidRDefault="00B33D93" w:rsidP="00C469C0"/>
                    <w:p w14:paraId="4A6B8ED1" w14:textId="1B52CC2F" w:rsidR="00B33D93" w:rsidRDefault="00B33D93" w:rsidP="00C469C0"/>
                    <w:p w14:paraId="526FDBE6" w14:textId="2853E292" w:rsidR="00B33D93" w:rsidRDefault="00B33D93" w:rsidP="00C469C0"/>
                    <w:p w14:paraId="3527B09D" w14:textId="4EAF4C01" w:rsidR="00B33D93" w:rsidRDefault="00B33D93" w:rsidP="00C469C0"/>
                    <w:p w14:paraId="36039B74" w14:textId="436F89DB" w:rsidR="00B33D93" w:rsidRDefault="00B33D93" w:rsidP="00C469C0"/>
                    <w:p w14:paraId="290872CC" w14:textId="77777777" w:rsidR="00B33D93" w:rsidRPr="00A648BC" w:rsidRDefault="00B33D93" w:rsidP="00C469C0"/>
                  </w:txbxContent>
                </v:textbox>
                <w10:wrap anchorx="margin"/>
              </v:shape>
            </w:pict>
          </mc:Fallback>
        </mc:AlternateContent>
      </w:r>
      <w:r w:rsidR="00BC3D51">
        <w:t xml:space="preserve">The first quarter of 2020 was one for the record books.  According to Reuters, Q1 2020's nearly 20% decline in the S&amp;P 500 represented the biggest quarterly decline for US markets since 2008 and the worst first quarter since 1938.  The statistics were even worse overseas with Europe registering its worst quarter since 2002, down nearly 23%; and stocks in the UK having their worst quarter since 1982.  The only bright-side for equity investors was the fact that it could have been worse.  Equities bounced 10-15% off their lows in the week prior to the quarter's end.  The energy market fared even worse with West Texas Intermediate (WTI) crude falling over 65% in the quarter.  Bonds were the sole bright spot in the quarter with the Bloomberg Barclays US Aggregate index rising roughly 3% as interest rates on the 10-year Treasury Note dropped from 1.92% to 0.68%.  </w:t>
      </w:r>
    </w:p>
    <w:p w14:paraId="1B024340" w14:textId="5B02BFCC" w:rsidR="00BC3D51" w:rsidRDefault="00BC3D51" w:rsidP="00BC3D51">
      <w:r>
        <w:t xml:space="preserve">The main culprit for all the damage to global economies and stock markets was COVID-19, the pandemic that began in China in January and quickly moved its way around the world.  In this low visibility environment, our investment team remains humble about what we don’t know, and flexible in our positioning, revising our forecasts as new information comes in.  First and foremost, we recognize that this is a health crisis, and thus we believe true resolution for stock markets may require some sort of health solution, not just stimulus from policymakers to offset the deep economic turndown. Following the very sharp declines since the peak just one month ago, we believe current levels of both risk assets (stocks and corporate bonds) and safer assets (Treasury bonds) reflect a fair amount of bad news. Two out of three of our tactical rules are positive as the Fed and central banks around the world continue to signal, they 'will do what it takes', and sentiment is at levels that are conducive to adding equity risk. However, the severity of the damage and the now negative trend-line for equities indicates that there may be further downside </w:t>
      </w:r>
    </w:p>
    <w:p w14:paraId="6E623F20" w14:textId="71814706" w:rsidR="00FF2F5A" w:rsidRDefault="00BC3D51" w:rsidP="00BC3D51">
      <w:pPr>
        <w:rPr>
          <w:i/>
          <w:color w:val="9D8D85" w:themeColor="background2"/>
          <w:sz w:val="16"/>
          <w:szCs w:val="16"/>
        </w:rPr>
      </w:pPr>
      <w:r>
        <w:t xml:space="preserve">Thus, while we still expect stocks will be higher than current levels 12-18 months from now, short-term risk remains high enough to keep our cautious positioning. All Riverfront Advantage portfolios have taken various levels of de-risking action over the past couple of weeks, as per our risk management discipline. We are now underweight stocks and overweight cash relative to our benchmarks, and meaningfully underweight international stocks in particular.  The degree to which we have taken defensive measures in our balanced portfolios varies with their mandate and targeted timeframe. Our shorter investment horizon portfolios (5-7 years and shorter) are positioned most cautiously. Selection is another important aspect of our positioning. All our portfolios have a strong preference for US stocks over other developed markets. In simple terms, we believe that while the US’ efforts so far to manage the public health crisis are no better, the US track record of dealing with economic crises since the 1980s has been significantly better than Europe or Japan. This applies to both policymakers and businesses. US companies dominate the successful 21st century business models that we believe will weather the </w:t>
      </w:r>
      <w:r>
        <w:lastRenderedPageBreak/>
        <w:t xml:space="preserve">current situation better and come out stronger. These businesses have revenue streams that will be less impacted by the stay-at-home recession and workforces that can work remotely more easily. </w:t>
      </w:r>
    </w:p>
    <w:p w14:paraId="140782DB" w14:textId="77777777" w:rsidR="004C7DB9" w:rsidRPr="00B20E47" w:rsidRDefault="004C7DB9" w:rsidP="001A78D6">
      <w:pPr>
        <w:tabs>
          <w:tab w:val="left" w:pos="841"/>
        </w:tabs>
        <w:rPr>
          <w:rFonts w:eastAsia="Cambria"/>
          <w:bCs/>
          <w:i/>
          <w:iCs/>
          <w:color w:val="9D8C84"/>
          <w:sz w:val="18"/>
          <w:szCs w:val="18"/>
        </w:rPr>
      </w:pPr>
      <w:r w:rsidRPr="00B20E47">
        <w:rPr>
          <w:rFonts w:eastAsia="Cambria"/>
          <w:bCs/>
          <w:i/>
          <w:iCs/>
          <w:color w:val="9D8C84"/>
          <w:sz w:val="18"/>
          <w:szCs w:val="18"/>
        </w:rPr>
        <w:t xml:space="preserve">Important Disclosure Information </w:t>
      </w:r>
    </w:p>
    <w:p w14:paraId="7F33C2B4" w14:textId="47CD1DF5" w:rsidR="004C7DB9" w:rsidRDefault="004C7DB9" w:rsidP="001A78D6">
      <w:pPr>
        <w:tabs>
          <w:tab w:val="left" w:pos="841"/>
        </w:tabs>
        <w:rPr>
          <w:rFonts w:eastAsia="Cambria"/>
          <w:bCs/>
          <w:i/>
          <w:iCs/>
          <w:color w:val="9D8C84"/>
          <w:sz w:val="18"/>
          <w:szCs w:val="18"/>
        </w:rPr>
      </w:pPr>
      <w:r w:rsidRPr="00B20E47">
        <w:rPr>
          <w:rFonts w:eastAsia="Cambria"/>
          <w:bCs/>
          <w:i/>
          <w:iCs/>
          <w:color w:val="9D8C84"/>
          <w:sz w:val="18"/>
          <w:szCs w:val="18"/>
        </w:rPr>
        <w:t>The comments above refer generally to financial markets and not RiverFront portfolios or any related performance. Past results are no guarantee of future results and no representation is made that a client will or is likely to achieve positive returns, avoid losses, or experience returns similar to those shown or experienced in the past.</w:t>
      </w:r>
    </w:p>
    <w:p w14:paraId="6F5F94CF" w14:textId="40ADD248" w:rsidR="00D4000F" w:rsidRDefault="00D4000F" w:rsidP="001A78D6">
      <w:pPr>
        <w:tabs>
          <w:tab w:val="left" w:pos="841"/>
        </w:tabs>
        <w:rPr>
          <w:rFonts w:eastAsia="Cambria"/>
          <w:bCs/>
          <w:i/>
          <w:iCs/>
          <w:color w:val="9D8C84"/>
          <w:sz w:val="18"/>
          <w:szCs w:val="18"/>
        </w:rPr>
      </w:pPr>
      <w:r w:rsidRPr="00D4000F">
        <w:rPr>
          <w:rFonts w:eastAsia="Cambria"/>
          <w:bCs/>
          <w:i/>
          <w:iCs/>
          <w:color w:val="9D8C84"/>
          <w:sz w:val="18"/>
          <w:szCs w:val="18"/>
        </w:rPr>
        <w:t>These portfolios may be inv</w:t>
      </w:r>
      <w:bookmarkStart w:id="1" w:name="_GoBack"/>
      <w:bookmarkEnd w:id="1"/>
      <w:r w:rsidRPr="00D4000F">
        <w:rPr>
          <w:rFonts w:eastAsia="Cambria"/>
          <w:bCs/>
          <w:i/>
          <w:iCs/>
          <w:color w:val="9D8C84"/>
          <w:sz w:val="18"/>
          <w:szCs w:val="18"/>
        </w:rPr>
        <w:t>ested in stocks, bonds and exchange-traded products (exchange-traded funds (ETFs) and exchange-traded notes (ETNs)). Advantage is offered through separately managed accounts or on model delivery platforms, depending on the Sponsor Firm.</w:t>
      </w:r>
    </w:p>
    <w:p w14:paraId="7FC1679A" w14:textId="71F56CE5" w:rsidR="004C7DB9" w:rsidRPr="00B20E47" w:rsidRDefault="004C7DB9" w:rsidP="001A78D6">
      <w:pPr>
        <w:tabs>
          <w:tab w:val="left" w:pos="841"/>
        </w:tabs>
        <w:rPr>
          <w:rFonts w:eastAsia="Cambria"/>
          <w:bCs/>
          <w:i/>
          <w:iCs/>
          <w:color w:val="9D8C84"/>
          <w:sz w:val="18"/>
          <w:szCs w:val="18"/>
        </w:rPr>
      </w:pPr>
      <w:r w:rsidRPr="00B20E47">
        <w:rPr>
          <w:rFonts w:eastAsia="Cambria"/>
          <w:bCs/>
          <w:i/>
          <w:iCs/>
          <w:color w:val="9D8C84"/>
          <w:sz w:val="18"/>
          <w:szCs w:val="18"/>
        </w:rPr>
        <w:t>Information or data shown or used in this material is for illustrative purposes only and was received from sources believed to be reliable, but accuracy is not guaranteed.</w:t>
      </w:r>
    </w:p>
    <w:p w14:paraId="39B074A9" w14:textId="77777777" w:rsidR="004C7DB9" w:rsidRPr="00B20E47" w:rsidRDefault="004C7DB9" w:rsidP="001A78D6">
      <w:pPr>
        <w:tabs>
          <w:tab w:val="left" w:pos="841"/>
        </w:tabs>
        <w:rPr>
          <w:rFonts w:eastAsia="Cambria"/>
          <w:bCs/>
          <w:i/>
          <w:iCs/>
          <w:color w:val="9D8C84"/>
          <w:sz w:val="18"/>
          <w:szCs w:val="18"/>
        </w:rPr>
      </w:pPr>
      <w:r w:rsidRPr="00B20E47">
        <w:rPr>
          <w:rFonts w:eastAsia="Cambria"/>
          <w:bCs/>
          <w:i/>
          <w:iCs/>
          <w:color w:val="9D8C84"/>
          <w:sz w:val="18"/>
          <w:szCs w:val="18"/>
        </w:rPr>
        <w:t>In a rising interest rate environment, the value of fixed-income securities generally declines.</w:t>
      </w:r>
    </w:p>
    <w:p w14:paraId="417838A8" w14:textId="77777777" w:rsidR="004C7DB9" w:rsidRPr="00B20E47" w:rsidRDefault="004C7DB9" w:rsidP="001A78D6">
      <w:pPr>
        <w:tabs>
          <w:tab w:val="left" w:pos="841"/>
        </w:tabs>
        <w:rPr>
          <w:rFonts w:eastAsia="Cambria"/>
          <w:bCs/>
          <w:i/>
          <w:iCs/>
          <w:color w:val="9D8C84"/>
          <w:sz w:val="18"/>
          <w:szCs w:val="18"/>
        </w:rPr>
      </w:pPr>
      <w:r w:rsidRPr="00B20E47">
        <w:rPr>
          <w:rFonts w:eastAsia="Cambria"/>
          <w:bCs/>
          <w:i/>
          <w:iCs/>
          <w:color w:val="9D8C84"/>
          <w:sz w:val="18"/>
          <w:szCs w:val="18"/>
        </w:rPr>
        <w:t xml:space="preserve">When referring to being “overweight” or “underweight” relative to a market or asset class, RiverFront is referring to our current portfolios’ weightings compared to the composite benchmarks for each portfolio. Asset class weighting discussion refers to our Advantage portfolios. For more information on our other portfolios, please visit </w:t>
      </w:r>
      <w:hyperlink r:id="rId9" w:history="1">
        <w:r w:rsidRPr="00B20E47">
          <w:rPr>
            <w:rStyle w:val="Hyperlink"/>
            <w:rFonts w:eastAsia="Cambria"/>
            <w:bCs/>
            <w:i/>
            <w:iCs/>
            <w:sz w:val="18"/>
            <w:szCs w:val="18"/>
          </w:rPr>
          <w:t>www.riverfrontig.com</w:t>
        </w:r>
      </w:hyperlink>
      <w:r w:rsidRPr="00B20E47">
        <w:rPr>
          <w:rFonts w:eastAsia="Cambria"/>
          <w:bCs/>
          <w:i/>
          <w:iCs/>
          <w:color w:val="9D8C84"/>
          <w:sz w:val="18"/>
          <w:szCs w:val="18"/>
        </w:rPr>
        <w:t xml:space="preserve"> or contact your Financial Advisor. </w:t>
      </w:r>
    </w:p>
    <w:p w14:paraId="3C2266E3" w14:textId="77777777" w:rsidR="004C7DB9" w:rsidRPr="00B20E47" w:rsidRDefault="004C7DB9" w:rsidP="001A78D6">
      <w:pPr>
        <w:tabs>
          <w:tab w:val="left" w:pos="841"/>
        </w:tabs>
        <w:rPr>
          <w:rFonts w:eastAsia="Cambria"/>
          <w:bCs/>
          <w:i/>
          <w:iCs/>
          <w:color w:val="9D8C84"/>
          <w:sz w:val="18"/>
          <w:szCs w:val="18"/>
        </w:rPr>
      </w:pPr>
      <w:r w:rsidRPr="00B20E47">
        <w:rPr>
          <w:rFonts w:eastAsia="Cambria"/>
          <w:bCs/>
          <w:i/>
          <w:iCs/>
          <w:color w:val="9D8C84"/>
          <w:sz w:val="18"/>
          <w:szCs w:val="18"/>
        </w:rPr>
        <w:t xml:space="preserve">Investing in foreign companies poses additional risks since political and economic events unique to a country or region may affect those markets and their issuers. In addition to such general international risks, the portfolio may also be exposed to currency fluctuation risks and emerging markets risks as described further below. </w:t>
      </w:r>
    </w:p>
    <w:p w14:paraId="0ED1F4D9" w14:textId="77777777" w:rsidR="004C7DB9" w:rsidRPr="00B20E47" w:rsidRDefault="004C7DB9" w:rsidP="001A78D6">
      <w:pPr>
        <w:tabs>
          <w:tab w:val="left" w:pos="841"/>
        </w:tabs>
        <w:rPr>
          <w:rFonts w:eastAsia="Cambria"/>
          <w:bCs/>
          <w:i/>
          <w:iCs/>
          <w:color w:val="9D8C84"/>
          <w:sz w:val="18"/>
          <w:szCs w:val="18"/>
        </w:rPr>
      </w:pPr>
      <w:r w:rsidRPr="00B20E47">
        <w:rPr>
          <w:rFonts w:eastAsia="Cambria"/>
          <w:bCs/>
          <w:i/>
          <w:iCs/>
          <w:color w:val="9D8C84"/>
          <w:sz w:val="18"/>
          <w:szCs w:val="18"/>
        </w:rPr>
        <w:t xml:space="preserve">Changes in the value of foreign currencies compared to the U.S. dollar may affect (positively or negatively) the value of the portfolio’s investments. Such currency movements may occur separately from, and/or in response to, events that do not otherwise affect the value of the security in the issuer’s home country. Also, the value of the portfolio may be influenced by currency exchange control regulations. The currencies of emerging market countries may experience significant declines against the U.S. dollar, and devaluation may occur subsequent to investments in these currencies by the portfolio. </w:t>
      </w:r>
    </w:p>
    <w:p w14:paraId="27AAEF44" w14:textId="77777777" w:rsidR="004C7DB9" w:rsidRPr="00B20E47" w:rsidRDefault="004C7DB9" w:rsidP="001A78D6">
      <w:pPr>
        <w:tabs>
          <w:tab w:val="left" w:pos="841"/>
        </w:tabs>
        <w:rPr>
          <w:rFonts w:eastAsia="Cambria"/>
          <w:bCs/>
          <w:i/>
          <w:iCs/>
          <w:color w:val="9D8C84"/>
          <w:sz w:val="18"/>
          <w:szCs w:val="18"/>
        </w:rPr>
      </w:pPr>
      <w:r w:rsidRPr="00B20E47">
        <w:rPr>
          <w:rFonts w:eastAsia="Cambria"/>
          <w:bCs/>
          <w:i/>
          <w:iCs/>
          <w:color w:val="9D8C84"/>
          <w:sz w:val="18"/>
          <w:szCs w:val="18"/>
        </w:rPr>
        <w:t>Foreign investments, especially investments in emerging markets, can be riskier and more volatile than investments in the U.S. and are considered speculative and subject to heightened risks in addition to the general risks of investing in non-U.S. securities.  Also, inflation and rapid fluctuations in inflation rates have had, and may continue to have, negative effects on the economies and securities markets of certain emerging market countries.</w:t>
      </w:r>
    </w:p>
    <w:p w14:paraId="63A9D3A6" w14:textId="77777777" w:rsidR="004C7DB9" w:rsidRPr="00B20E47" w:rsidRDefault="004C7DB9" w:rsidP="001A78D6">
      <w:pPr>
        <w:tabs>
          <w:tab w:val="left" w:pos="841"/>
        </w:tabs>
        <w:rPr>
          <w:rFonts w:eastAsia="Cambria"/>
          <w:bCs/>
          <w:i/>
          <w:iCs/>
          <w:color w:val="9D8C84"/>
          <w:sz w:val="18"/>
          <w:szCs w:val="18"/>
        </w:rPr>
      </w:pPr>
      <w:r w:rsidRPr="00B20E47">
        <w:rPr>
          <w:rFonts w:eastAsia="Cambria"/>
          <w:bCs/>
          <w:i/>
          <w:iCs/>
          <w:color w:val="9D8C84"/>
          <w:sz w:val="18"/>
          <w:szCs w:val="18"/>
        </w:rPr>
        <w:t>Stocks represent partial ownership of a corporation. If the corporation does well, its value increases, and investors share in the appreciation. However, if it goes bankrupt, or performs poorly, investors can lose their entire initial investment (i.e., the stock price can go to zero).  Bonds represent a loan made by an investor to a corporation or government.  As such, the investor gets a guaranteed interest rate for a specific period of time and expects to get their original investment back at the end of that time period, along with the interest earned. Investment risk is repayment of the principal (amount invested). In the event of a bankruptcy or other corporate disruption, bonds are senior to stocks.  Investors should be aware of these differences prior to investing.</w:t>
      </w:r>
    </w:p>
    <w:p w14:paraId="0529803E" w14:textId="71C524B6" w:rsidR="004C7DB9" w:rsidRDefault="004C7DB9" w:rsidP="001A78D6">
      <w:pPr>
        <w:tabs>
          <w:tab w:val="left" w:pos="841"/>
        </w:tabs>
        <w:rPr>
          <w:rFonts w:eastAsia="Cambria"/>
          <w:bCs/>
          <w:i/>
          <w:iCs/>
          <w:color w:val="9D8C84"/>
          <w:sz w:val="18"/>
          <w:szCs w:val="18"/>
        </w:rPr>
      </w:pPr>
      <w:r w:rsidRPr="00B20E47">
        <w:rPr>
          <w:rFonts w:eastAsia="Cambria"/>
          <w:bCs/>
          <w:i/>
          <w:iCs/>
          <w:color w:val="9D8C84"/>
          <w:sz w:val="18"/>
          <w:szCs w:val="18"/>
        </w:rPr>
        <w:t>You cannot invest directly in an index</w:t>
      </w:r>
    </w:p>
    <w:p w14:paraId="0F528DC7" w14:textId="18A10920" w:rsidR="00925D71" w:rsidRDefault="00925D71" w:rsidP="001A78D6">
      <w:pPr>
        <w:tabs>
          <w:tab w:val="left" w:pos="841"/>
        </w:tabs>
        <w:rPr>
          <w:rFonts w:eastAsia="Cambria"/>
          <w:bCs/>
          <w:i/>
          <w:iCs/>
          <w:color w:val="9D8C84"/>
          <w:sz w:val="18"/>
          <w:szCs w:val="18"/>
        </w:rPr>
      </w:pPr>
      <w:r w:rsidRPr="00925D71">
        <w:rPr>
          <w:rFonts w:eastAsia="Cambria"/>
          <w:bCs/>
          <w:i/>
          <w:iCs/>
          <w:color w:val="9D8C84"/>
          <w:sz w:val="18"/>
          <w:szCs w:val="18"/>
        </w:rPr>
        <w:t>Standard &amp; Poor’s (S&amp;P) 500 Index measures the performance of 500 large cap stocks, which together represent about 80% of the total US equities market.</w:t>
      </w:r>
    </w:p>
    <w:p w14:paraId="74E7CDC3" w14:textId="3E437DDF" w:rsidR="0034564C" w:rsidRDefault="00D4000F" w:rsidP="001A78D6">
      <w:pPr>
        <w:tabs>
          <w:tab w:val="left" w:pos="841"/>
        </w:tabs>
        <w:rPr>
          <w:rFonts w:eastAsia="Cambria"/>
          <w:bCs/>
          <w:i/>
          <w:iCs/>
          <w:color w:val="9D8C84"/>
          <w:sz w:val="18"/>
          <w:szCs w:val="18"/>
        </w:rPr>
      </w:pPr>
      <w:r>
        <w:rPr>
          <w:rFonts w:eastAsia="Cambria"/>
          <w:bCs/>
          <w:i/>
          <w:iCs/>
          <w:color w:val="9D8C84"/>
          <w:sz w:val="18"/>
          <w:szCs w:val="18"/>
        </w:rPr>
        <w:t>The Bloomberg</w:t>
      </w:r>
      <w:r w:rsidRPr="00D4000F">
        <w:rPr>
          <w:rFonts w:eastAsia="Cambria"/>
          <w:bCs/>
          <w:i/>
          <w:iCs/>
          <w:color w:val="9D8C84"/>
          <w:sz w:val="18"/>
          <w:szCs w:val="18"/>
        </w:rPr>
        <w:t xml:space="preserve"> Barclays Capital Aggregate Bond Index comprises about $15 trillion worth of bonds and includes the entire space of domestic, investment-grade, fixed-income securities traded in the United States.</w:t>
      </w:r>
    </w:p>
    <w:p w14:paraId="3E409B58" w14:textId="39D70478" w:rsidR="00475D2A" w:rsidRPr="00B20E47" w:rsidRDefault="00475D2A" w:rsidP="001A78D6">
      <w:pPr>
        <w:tabs>
          <w:tab w:val="left" w:pos="841"/>
        </w:tabs>
        <w:rPr>
          <w:rFonts w:eastAsia="Cambria"/>
          <w:bCs/>
          <w:i/>
          <w:iCs/>
          <w:color w:val="9D8C84"/>
          <w:sz w:val="18"/>
          <w:szCs w:val="18"/>
        </w:rPr>
      </w:pPr>
      <w:r>
        <w:rPr>
          <w:rFonts w:eastAsia="Cambria"/>
          <w:bCs/>
          <w:i/>
          <w:iCs/>
          <w:color w:val="9D8C84"/>
          <w:sz w:val="18"/>
          <w:szCs w:val="18"/>
        </w:rPr>
        <w:t xml:space="preserve">RiverFront’s Three Tactical Rules include: Don’t Fight the Fed, Don’t Fight the Trend, and Beware the Crowd at Extremes. </w:t>
      </w:r>
      <w:r w:rsidRPr="00475D2A">
        <w:rPr>
          <w:rFonts w:eastAsia="Cambria"/>
          <w:bCs/>
          <w:i/>
          <w:iCs/>
          <w:color w:val="9D8C84"/>
          <w:sz w:val="18"/>
          <w:szCs w:val="18"/>
        </w:rPr>
        <w:t>Don’t Fight the Fed – ‘Supportive’ means the Fed’s monetary policy regarding inflation and employment is in what we believe based on our analysis to be the investors’ best interest; ‘Against’ means the Fed’s monetary policy, in our view, is going against the investors’ best interest; ‘Neutral’ means the Fed’s monetary policy is neither supportive or against the investors’ best interest in our view. Don’t Fight the Trend – Terms correlate to the 200-day moving average as it relates to the equity indexes: ‘Positive’ means that the trend is rising, ‘Flat’ means the trend is flat, ‘Negative’ means the trend is falling. Beware the Crowd at Extremes – Terms correlate to the NDR Crowd Sentiment Poll and its measurement of Extreme Optimism (Bearish), Neutral, or Extreme Pessimism (Bullish).</w:t>
      </w:r>
    </w:p>
    <w:p w14:paraId="34E7D154" w14:textId="626EC487" w:rsidR="00723202" w:rsidRPr="00723202" w:rsidRDefault="00723202" w:rsidP="00723202">
      <w:pPr>
        <w:tabs>
          <w:tab w:val="left" w:pos="841"/>
        </w:tabs>
        <w:rPr>
          <w:rFonts w:eastAsia="Cambria"/>
          <w:bCs/>
          <w:i/>
          <w:iCs/>
          <w:color w:val="9D8C84"/>
          <w:sz w:val="18"/>
          <w:szCs w:val="18"/>
        </w:rPr>
      </w:pPr>
      <w:r w:rsidRPr="00723202">
        <w:rPr>
          <w:rFonts w:eastAsia="Cambria"/>
          <w:bCs/>
          <w:i/>
          <w:iCs/>
          <w:color w:val="9D8C84"/>
          <w:sz w:val="18"/>
          <w:szCs w:val="18"/>
        </w:rPr>
        <w:t xml:space="preserve">RiverFront Investment Group, LLC (“RiverFront”), is a registered investment adviser with the Securities and Exchange Commission. Registration as an investment adviser does not imply any level of skill or expertise. Any discussion of specific securities is provided for informational purposes only and should not be deemed as investment advice or a recommendation to buy or sell any individual security mentioned. RiverFront is affiliated with Robert W. Baird &amp; Co. Incorporated (“Baird”), member FINRA/SIPC, from its minority ownership </w:t>
      </w:r>
      <w:r w:rsidRPr="00723202">
        <w:rPr>
          <w:rFonts w:eastAsia="Cambria"/>
          <w:bCs/>
          <w:i/>
          <w:iCs/>
          <w:color w:val="9D8C84"/>
          <w:sz w:val="18"/>
          <w:szCs w:val="18"/>
        </w:rPr>
        <w:lastRenderedPageBreak/>
        <w:t xml:space="preserve">interest in RiverFront. RiverFront is owned primarily by its employees through RiverFront Investment Holding Group, LLC, the holding company for RiverFront. Baird Financial Corporation (BFC) is a minority owner of RiverFront Investment Holding Group, LLC and therefore an indirect owner of RiverFront. BFC is the parent company of Robert W. Baird &amp; Co. Incorporated, a registered broker/dealer and investment adviser.  </w:t>
      </w:r>
    </w:p>
    <w:p w14:paraId="600937C3" w14:textId="44410E29" w:rsidR="00E83FC4" w:rsidRPr="00B20E47" w:rsidRDefault="00723202" w:rsidP="00723202">
      <w:pPr>
        <w:tabs>
          <w:tab w:val="left" w:pos="841"/>
        </w:tabs>
        <w:rPr>
          <w:rFonts w:eastAsia="Cambria"/>
          <w:bCs/>
          <w:i/>
          <w:iCs/>
          <w:color w:val="9D8C84"/>
          <w:sz w:val="18"/>
          <w:szCs w:val="18"/>
        </w:rPr>
      </w:pPr>
      <w:r w:rsidRPr="00723202">
        <w:rPr>
          <w:rFonts w:eastAsia="Cambria"/>
          <w:bCs/>
          <w:i/>
          <w:iCs/>
          <w:color w:val="9D8C84"/>
          <w:sz w:val="18"/>
          <w:szCs w:val="18"/>
        </w:rPr>
        <w:t xml:space="preserve">To review other risks and more information about RiverFront, please visit the website at www.riverfrontig.com and the Form ADV, Part 2A. Copyright ©2020 RiverFront Investment Group. All Rights Reserved. </w:t>
      </w:r>
      <w:r w:rsidR="00C35739" w:rsidRPr="00C35739">
        <w:rPr>
          <w:rFonts w:eastAsia="Cambria"/>
          <w:bCs/>
          <w:i/>
          <w:iCs/>
          <w:color w:val="9D8C84"/>
          <w:sz w:val="18"/>
          <w:szCs w:val="18"/>
        </w:rPr>
        <w:t>1145955</w:t>
      </w:r>
    </w:p>
    <w:sectPr w:rsidR="00E83FC4" w:rsidRPr="00B20E47" w:rsidSect="001A78D6">
      <w:footerReference w:type="even" r:id="rId10"/>
      <w:footerReference w:type="default" r:id="rId11"/>
      <w:headerReference w:type="first" r:id="rId12"/>
      <w:footerReference w:type="first" r:id="rId13"/>
      <w:pgSz w:w="12240" w:h="15840"/>
      <w:pgMar w:top="990" w:right="446" w:bottom="806" w:left="547" w:header="274" w:footer="5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A62BF" w14:textId="77777777" w:rsidR="0075245E" w:rsidRDefault="0075245E" w:rsidP="002C1B5D">
      <w:r>
        <w:separator/>
      </w:r>
    </w:p>
  </w:endnote>
  <w:endnote w:type="continuationSeparator" w:id="0">
    <w:p w14:paraId="57E62EB6" w14:textId="77777777" w:rsidR="0075245E" w:rsidRDefault="0075245E" w:rsidP="002C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28EC" w14:textId="77777777" w:rsidR="006A647C" w:rsidRDefault="006A647C" w:rsidP="002C1B5D">
    <w:pPr>
      <w:pStyle w:val="Footer"/>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6E5FB3CF" w14:textId="77777777" w:rsidR="006A647C" w:rsidRDefault="006A647C" w:rsidP="002C1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8183" w14:textId="77777777" w:rsidR="006A647C" w:rsidRDefault="006A647C" w:rsidP="002C1B5D">
    <w:pPr>
      <w:pStyle w:val="Footer"/>
    </w:pPr>
    <w:r>
      <w:rPr>
        <w:noProof/>
      </w:rPr>
      <w:drawing>
        <wp:anchor distT="0" distB="0" distL="114300" distR="114300" simplePos="0" relativeHeight="251660288" behindDoc="1" locked="0" layoutInCell="1" allowOverlap="1" wp14:anchorId="13A01D4A" wp14:editId="009068B8">
          <wp:simplePos x="0" y="0"/>
          <wp:positionH relativeFrom="column">
            <wp:posOffset>0</wp:posOffset>
          </wp:positionH>
          <wp:positionV relativeFrom="paragraph">
            <wp:posOffset>59690</wp:posOffset>
          </wp:positionV>
          <wp:extent cx="7312794" cy="239189"/>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Views_Second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312794" cy="23918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7773" w14:textId="77777777" w:rsidR="00CE4DB8" w:rsidRDefault="00CE4DB8" w:rsidP="002C1B5D">
    <w:pPr>
      <w:pStyle w:val="Footer"/>
    </w:pPr>
    <w:r>
      <w:rPr>
        <w:noProof/>
      </w:rPr>
      <w:drawing>
        <wp:anchor distT="0" distB="0" distL="114300" distR="114300" simplePos="0" relativeHeight="251664384" behindDoc="1" locked="0" layoutInCell="1" allowOverlap="1" wp14:anchorId="4AE811A6" wp14:editId="43F9F12F">
          <wp:simplePos x="0" y="0"/>
          <wp:positionH relativeFrom="column">
            <wp:posOffset>2540</wp:posOffset>
          </wp:positionH>
          <wp:positionV relativeFrom="paragraph">
            <wp:posOffset>110490</wp:posOffset>
          </wp:positionV>
          <wp:extent cx="7312794" cy="23918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Views_Second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312794" cy="239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D2FC6" w14:textId="77777777" w:rsidR="0075245E" w:rsidRDefault="0075245E" w:rsidP="002C1B5D">
      <w:r>
        <w:separator/>
      </w:r>
    </w:p>
  </w:footnote>
  <w:footnote w:type="continuationSeparator" w:id="0">
    <w:p w14:paraId="64BECE84" w14:textId="77777777" w:rsidR="0075245E" w:rsidRDefault="0075245E" w:rsidP="002C1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8BFD" w14:textId="77777777" w:rsidR="006A647C" w:rsidRDefault="006A647C" w:rsidP="002C1B5D">
    <w:pPr>
      <w:pStyle w:val="Header"/>
    </w:pPr>
    <w:r>
      <w:rPr>
        <w:noProof/>
      </w:rPr>
      <w:drawing>
        <wp:anchor distT="0" distB="0" distL="114300" distR="114300" simplePos="0" relativeHeight="251662336" behindDoc="1" locked="0" layoutInCell="1" allowOverlap="1" wp14:anchorId="3F0DFD3C" wp14:editId="16B8CEF4">
          <wp:simplePos x="0" y="0"/>
          <wp:positionH relativeFrom="column">
            <wp:posOffset>-114300</wp:posOffset>
          </wp:positionH>
          <wp:positionV relativeFrom="paragraph">
            <wp:posOffset>118110</wp:posOffset>
          </wp:positionV>
          <wp:extent cx="7367824" cy="8001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klyView_MASTHEAD.jpg"/>
                  <pic:cNvPicPr/>
                </pic:nvPicPr>
                <pic:blipFill>
                  <a:blip r:embed="rId1">
                    <a:extLst>
                      <a:ext uri="{28A0092B-C50C-407E-A947-70E740481C1C}">
                        <a14:useLocalDpi xmlns:a14="http://schemas.microsoft.com/office/drawing/2010/main" val="0"/>
                      </a:ext>
                    </a:extLst>
                  </a:blip>
                  <a:stretch>
                    <a:fillRect/>
                  </a:stretch>
                </pic:blipFill>
                <pic:spPr>
                  <a:xfrm>
                    <a:off x="0" y="0"/>
                    <a:ext cx="7367824"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CCA"/>
    <w:multiLevelType w:val="hybridMultilevel"/>
    <w:tmpl w:val="E21AA09C"/>
    <w:lvl w:ilvl="0" w:tplc="3154C510">
      <w:start w:val="1"/>
      <w:numFmt w:val="decimal"/>
      <w:lvlText w:val="%1."/>
      <w:lvlJc w:val="left"/>
      <w:pPr>
        <w:ind w:left="1440" w:hanging="360"/>
      </w:pPr>
      <w:rPr>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8C80A77"/>
    <w:multiLevelType w:val="hybridMultilevel"/>
    <w:tmpl w:val="13144512"/>
    <w:lvl w:ilvl="0" w:tplc="1C0A1D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E75E26"/>
    <w:multiLevelType w:val="hybridMultilevel"/>
    <w:tmpl w:val="46966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90650"/>
    <w:multiLevelType w:val="hybridMultilevel"/>
    <w:tmpl w:val="3E164390"/>
    <w:lvl w:ilvl="0" w:tplc="732CBB3C">
      <w:start w:val="1"/>
      <w:numFmt w:val="decimal"/>
      <w:lvlText w:val="%1."/>
      <w:lvlJc w:val="left"/>
      <w:pPr>
        <w:ind w:left="1080" w:hanging="360"/>
      </w:pPr>
      <w:rPr>
        <w:rFonts w:asciiTheme="minorHAnsi" w:eastAsiaTheme="minorEastAsia"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950C2"/>
    <w:multiLevelType w:val="hybridMultilevel"/>
    <w:tmpl w:val="AF909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BF186E"/>
    <w:multiLevelType w:val="hybridMultilevel"/>
    <w:tmpl w:val="8AE4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93598"/>
    <w:multiLevelType w:val="hybridMultilevel"/>
    <w:tmpl w:val="322880D4"/>
    <w:lvl w:ilvl="0" w:tplc="04090001">
      <w:start w:val="1"/>
      <w:numFmt w:val="bullet"/>
      <w:lvlText w:val=""/>
      <w:lvlJc w:val="left"/>
      <w:pPr>
        <w:ind w:left="783" w:hanging="360"/>
      </w:pPr>
      <w:rPr>
        <w:rFonts w:ascii="Symbol" w:hAnsi="Symbol"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15:restartNumberingAfterBreak="0">
    <w:nsid w:val="1C1D33EE"/>
    <w:multiLevelType w:val="hybridMultilevel"/>
    <w:tmpl w:val="F50EA9FC"/>
    <w:lvl w:ilvl="0" w:tplc="9326B5D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11D1E"/>
    <w:multiLevelType w:val="hybridMultilevel"/>
    <w:tmpl w:val="99DAB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9D6921"/>
    <w:multiLevelType w:val="hybridMultilevel"/>
    <w:tmpl w:val="C632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94337"/>
    <w:multiLevelType w:val="hybridMultilevel"/>
    <w:tmpl w:val="9BCEB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90105"/>
    <w:multiLevelType w:val="hybridMultilevel"/>
    <w:tmpl w:val="8AEE77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0FD1118"/>
    <w:multiLevelType w:val="hybridMultilevel"/>
    <w:tmpl w:val="FC62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82C3E"/>
    <w:multiLevelType w:val="hybridMultilevel"/>
    <w:tmpl w:val="F840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B00E7"/>
    <w:multiLevelType w:val="hybridMultilevel"/>
    <w:tmpl w:val="A7E2269E"/>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num w:numId="1">
    <w:abstractNumId w:val="13"/>
  </w:num>
  <w:num w:numId="2">
    <w:abstractNumId w:val="14"/>
  </w:num>
  <w:num w:numId="3">
    <w:abstractNumId w:val="5"/>
  </w:num>
  <w:num w:numId="4">
    <w:abstractNumId w:val="6"/>
  </w:num>
  <w:num w:numId="5">
    <w:abstractNumId w:val="12"/>
  </w:num>
  <w:num w:numId="6">
    <w:abstractNumId w:val="9"/>
  </w:num>
  <w:num w:numId="7">
    <w:abstractNumId w:val="1"/>
  </w:num>
  <w:num w:numId="8">
    <w:abstractNumId w:val="3"/>
  </w:num>
  <w:num w:numId="9">
    <w:abstractNumId w:val="7"/>
  </w:num>
  <w:num w:numId="10">
    <w:abstractNumId w:val="11"/>
  </w:num>
  <w:num w:numId="11">
    <w:abstractNumId w:val="10"/>
  </w:num>
  <w:num w:numId="12">
    <w:abstractNumId w:val="0"/>
  </w:num>
  <w:num w:numId="13">
    <w:abstractNumId w:val="4"/>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66D2A"/>
    <w:rsid w:val="00002578"/>
    <w:rsid w:val="00005965"/>
    <w:rsid w:val="000138C6"/>
    <w:rsid w:val="0002334F"/>
    <w:rsid w:val="0002668B"/>
    <w:rsid w:val="000267C6"/>
    <w:rsid w:val="00026C1C"/>
    <w:rsid w:val="000302FB"/>
    <w:rsid w:val="00030BAA"/>
    <w:rsid w:val="000409A7"/>
    <w:rsid w:val="000414CF"/>
    <w:rsid w:val="000428EB"/>
    <w:rsid w:val="0004300C"/>
    <w:rsid w:val="00043B77"/>
    <w:rsid w:val="00044A16"/>
    <w:rsid w:val="00044B67"/>
    <w:rsid w:val="00054E9D"/>
    <w:rsid w:val="00056DC1"/>
    <w:rsid w:val="000602ED"/>
    <w:rsid w:val="00061FF8"/>
    <w:rsid w:val="00062312"/>
    <w:rsid w:val="00066961"/>
    <w:rsid w:val="00070AF5"/>
    <w:rsid w:val="000727D1"/>
    <w:rsid w:val="00077D08"/>
    <w:rsid w:val="00082392"/>
    <w:rsid w:val="0008640E"/>
    <w:rsid w:val="00086B2C"/>
    <w:rsid w:val="00087AEE"/>
    <w:rsid w:val="00092067"/>
    <w:rsid w:val="00092154"/>
    <w:rsid w:val="00096EB7"/>
    <w:rsid w:val="000A1343"/>
    <w:rsid w:val="000A3359"/>
    <w:rsid w:val="000B35B2"/>
    <w:rsid w:val="000B543A"/>
    <w:rsid w:val="000B5F17"/>
    <w:rsid w:val="000B6F83"/>
    <w:rsid w:val="000C3CA6"/>
    <w:rsid w:val="000D7913"/>
    <w:rsid w:val="000D7AEE"/>
    <w:rsid w:val="000E0D1F"/>
    <w:rsid w:val="000E1B72"/>
    <w:rsid w:val="000E25EF"/>
    <w:rsid w:val="000E371F"/>
    <w:rsid w:val="000E7847"/>
    <w:rsid w:val="000F396B"/>
    <w:rsid w:val="000F3C8A"/>
    <w:rsid w:val="00102016"/>
    <w:rsid w:val="00106906"/>
    <w:rsid w:val="0011072B"/>
    <w:rsid w:val="00110F8A"/>
    <w:rsid w:val="00113F03"/>
    <w:rsid w:val="00115560"/>
    <w:rsid w:val="00120755"/>
    <w:rsid w:val="001215C0"/>
    <w:rsid w:val="0012473E"/>
    <w:rsid w:val="001247D6"/>
    <w:rsid w:val="00124E8A"/>
    <w:rsid w:val="001273A4"/>
    <w:rsid w:val="0013046F"/>
    <w:rsid w:val="0013776C"/>
    <w:rsid w:val="001430B0"/>
    <w:rsid w:val="00150166"/>
    <w:rsid w:val="0015355B"/>
    <w:rsid w:val="001539D6"/>
    <w:rsid w:val="0015450E"/>
    <w:rsid w:val="0016057F"/>
    <w:rsid w:val="00160DAC"/>
    <w:rsid w:val="0016529F"/>
    <w:rsid w:val="00165CF3"/>
    <w:rsid w:val="001670C4"/>
    <w:rsid w:val="00167BC2"/>
    <w:rsid w:val="00170450"/>
    <w:rsid w:val="001728C7"/>
    <w:rsid w:val="00174530"/>
    <w:rsid w:val="00175377"/>
    <w:rsid w:val="001765ED"/>
    <w:rsid w:val="001779B8"/>
    <w:rsid w:val="0018479A"/>
    <w:rsid w:val="00187F67"/>
    <w:rsid w:val="001930C5"/>
    <w:rsid w:val="00193C8A"/>
    <w:rsid w:val="0019402C"/>
    <w:rsid w:val="00194E41"/>
    <w:rsid w:val="00194ED3"/>
    <w:rsid w:val="00196321"/>
    <w:rsid w:val="00197B08"/>
    <w:rsid w:val="001A1489"/>
    <w:rsid w:val="001A5393"/>
    <w:rsid w:val="001A78D6"/>
    <w:rsid w:val="001B165A"/>
    <w:rsid w:val="001B173F"/>
    <w:rsid w:val="001B2824"/>
    <w:rsid w:val="001B2ABD"/>
    <w:rsid w:val="001C05D8"/>
    <w:rsid w:val="001C1B45"/>
    <w:rsid w:val="001C382F"/>
    <w:rsid w:val="001C39A6"/>
    <w:rsid w:val="001D24CD"/>
    <w:rsid w:val="001D4D84"/>
    <w:rsid w:val="001D6FAC"/>
    <w:rsid w:val="001D7580"/>
    <w:rsid w:val="001E0D1B"/>
    <w:rsid w:val="001E1E4B"/>
    <w:rsid w:val="001E6595"/>
    <w:rsid w:val="001E6D6F"/>
    <w:rsid w:val="001E6DD2"/>
    <w:rsid w:val="001F0E75"/>
    <w:rsid w:val="001F3761"/>
    <w:rsid w:val="001F3AEC"/>
    <w:rsid w:val="001F6CE1"/>
    <w:rsid w:val="002038A1"/>
    <w:rsid w:val="00206AFB"/>
    <w:rsid w:val="00211FDA"/>
    <w:rsid w:val="002130C4"/>
    <w:rsid w:val="00213E58"/>
    <w:rsid w:val="00216AB7"/>
    <w:rsid w:val="00216B9A"/>
    <w:rsid w:val="00221162"/>
    <w:rsid w:val="002263E2"/>
    <w:rsid w:val="00232AF6"/>
    <w:rsid w:val="002509D4"/>
    <w:rsid w:val="0025127F"/>
    <w:rsid w:val="002539F8"/>
    <w:rsid w:val="00264BEC"/>
    <w:rsid w:val="00272FC2"/>
    <w:rsid w:val="0027459C"/>
    <w:rsid w:val="00274B4A"/>
    <w:rsid w:val="00276ADD"/>
    <w:rsid w:val="00280990"/>
    <w:rsid w:val="00284E54"/>
    <w:rsid w:val="00285DDC"/>
    <w:rsid w:val="002871AD"/>
    <w:rsid w:val="002A03BD"/>
    <w:rsid w:val="002A0701"/>
    <w:rsid w:val="002A1B15"/>
    <w:rsid w:val="002A4775"/>
    <w:rsid w:val="002B0A0F"/>
    <w:rsid w:val="002B1789"/>
    <w:rsid w:val="002B32A8"/>
    <w:rsid w:val="002B3C3D"/>
    <w:rsid w:val="002C1B5D"/>
    <w:rsid w:val="002C1D48"/>
    <w:rsid w:val="002C2B57"/>
    <w:rsid w:val="002C33AB"/>
    <w:rsid w:val="002C58FD"/>
    <w:rsid w:val="002C5A20"/>
    <w:rsid w:val="002D0045"/>
    <w:rsid w:val="002D560A"/>
    <w:rsid w:val="002E049E"/>
    <w:rsid w:val="002E1E0A"/>
    <w:rsid w:val="002E3C7C"/>
    <w:rsid w:val="002E3DE6"/>
    <w:rsid w:val="002E5811"/>
    <w:rsid w:val="002E67CA"/>
    <w:rsid w:val="002F6234"/>
    <w:rsid w:val="0030036C"/>
    <w:rsid w:val="0030634D"/>
    <w:rsid w:val="00307399"/>
    <w:rsid w:val="0031108C"/>
    <w:rsid w:val="003136B2"/>
    <w:rsid w:val="003137B9"/>
    <w:rsid w:val="00313BB9"/>
    <w:rsid w:val="003171A9"/>
    <w:rsid w:val="003306AD"/>
    <w:rsid w:val="003322D1"/>
    <w:rsid w:val="00332FEA"/>
    <w:rsid w:val="003410C3"/>
    <w:rsid w:val="003426A4"/>
    <w:rsid w:val="00342859"/>
    <w:rsid w:val="0034564C"/>
    <w:rsid w:val="00345B44"/>
    <w:rsid w:val="00345C15"/>
    <w:rsid w:val="00345E0F"/>
    <w:rsid w:val="0034712C"/>
    <w:rsid w:val="00350CC2"/>
    <w:rsid w:val="0036101B"/>
    <w:rsid w:val="003649D3"/>
    <w:rsid w:val="00370FA9"/>
    <w:rsid w:val="0037583E"/>
    <w:rsid w:val="00380B3A"/>
    <w:rsid w:val="003820FE"/>
    <w:rsid w:val="003839ED"/>
    <w:rsid w:val="0038597E"/>
    <w:rsid w:val="003866AB"/>
    <w:rsid w:val="00390BE0"/>
    <w:rsid w:val="00392720"/>
    <w:rsid w:val="003947FD"/>
    <w:rsid w:val="003975D0"/>
    <w:rsid w:val="00397C2D"/>
    <w:rsid w:val="003A296D"/>
    <w:rsid w:val="003A6E3B"/>
    <w:rsid w:val="003A70A4"/>
    <w:rsid w:val="003B0EDE"/>
    <w:rsid w:val="003B44A8"/>
    <w:rsid w:val="003B5BB8"/>
    <w:rsid w:val="003C2D8D"/>
    <w:rsid w:val="003C3546"/>
    <w:rsid w:val="003C6809"/>
    <w:rsid w:val="003D3DA6"/>
    <w:rsid w:val="003D5045"/>
    <w:rsid w:val="003D5A3A"/>
    <w:rsid w:val="003D6750"/>
    <w:rsid w:val="003D792F"/>
    <w:rsid w:val="003E043C"/>
    <w:rsid w:val="003E4CDA"/>
    <w:rsid w:val="003E7B3C"/>
    <w:rsid w:val="003F1032"/>
    <w:rsid w:val="003F2B74"/>
    <w:rsid w:val="003F3960"/>
    <w:rsid w:val="003F5BC9"/>
    <w:rsid w:val="003F5D03"/>
    <w:rsid w:val="00404229"/>
    <w:rsid w:val="00405AA5"/>
    <w:rsid w:val="00407977"/>
    <w:rsid w:val="004101DA"/>
    <w:rsid w:val="00411158"/>
    <w:rsid w:val="00412553"/>
    <w:rsid w:val="004125EB"/>
    <w:rsid w:val="0041433F"/>
    <w:rsid w:val="00417777"/>
    <w:rsid w:val="00421FFB"/>
    <w:rsid w:val="0042223A"/>
    <w:rsid w:val="0042240F"/>
    <w:rsid w:val="0042699E"/>
    <w:rsid w:val="0044237D"/>
    <w:rsid w:val="00445474"/>
    <w:rsid w:val="00446654"/>
    <w:rsid w:val="00447B65"/>
    <w:rsid w:val="00453C09"/>
    <w:rsid w:val="00457746"/>
    <w:rsid w:val="00457D2A"/>
    <w:rsid w:val="0046044F"/>
    <w:rsid w:val="00466672"/>
    <w:rsid w:val="00475429"/>
    <w:rsid w:val="00475D2A"/>
    <w:rsid w:val="0047683D"/>
    <w:rsid w:val="004823AC"/>
    <w:rsid w:val="00485CCA"/>
    <w:rsid w:val="00485EE5"/>
    <w:rsid w:val="004861BF"/>
    <w:rsid w:val="00486A9D"/>
    <w:rsid w:val="00486CAD"/>
    <w:rsid w:val="00493500"/>
    <w:rsid w:val="00495454"/>
    <w:rsid w:val="004967EE"/>
    <w:rsid w:val="004A0DD1"/>
    <w:rsid w:val="004A0E52"/>
    <w:rsid w:val="004A321B"/>
    <w:rsid w:val="004A63D2"/>
    <w:rsid w:val="004A73E1"/>
    <w:rsid w:val="004A7AEC"/>
    <w:rsid w:val="004B022F"/>
    <w:rsid w:val="004B2DA8"/>
    <w:rsid w:val="004C12E0"/>
    <w:rsid w:val="004C1471"/>
    <w:rsid w:val="004C66D0"/>
    <w:rsid w:val="004C715E"/>
    <w:rsid w:val="004C7DB9"/>
    <w:rsid w:val="004D43FF"/>
    <w:rsid w:val="004D4E17"/>
    <w:rsid w:val="004E2B9E"/>
    <w:rsid w:val="004E69E5"/>
    <w:rsid w:val="004F47BB"/>
    <w:rsid w:val="004F50E4"/>
    <w:rsid w:val="004F74B4"/>
    <w:rsid w:val="004F7F81"/>
    <w:rsid w:val="00500BB4"/>
    <w:rsid w:val="0050140E"/>
    <w:rsid w:val="0050157F"/>
    <w:rsid w:val="00505B18"/>
    <w:rsid w:val="00506766"/>
    <w:rsid w:val="00507D19"/>
    <w:rsid w:val="00510E02"/>
    <w:rsid w:val="00520993"/>
    <w:rsid w:val="00522069"/>
    <w:rsid w:val="005243B9"/>
    <w:rsid w:val="005311E1"/>
    <w:rsid w:val="00542833"/>
    <w:rsid w:val="0054370A"/>
    <w:rsid w:val="00544305"/>
    <w:rsid w:val="00546EC9"/>
    <w:rsid w:val="0054708B"/>
    <w:rsid w:val="00550458"/>
    <w:rsid w:val="00555A2B"/>
    <w:rsid w:val="0056787C"/>
    <w:rsid w:val="005747A8"/>
    <w:rsid w:val="00580BBB"/>
    <w:rsid w:val="00580DDA"/>
    <w:rsid w:val="005832C4"/>
    <w:rsid w:val="0058761E"/>
    <w:rsid w:val="0059126C"/>
    <w:rsid w:val="00591814"/>
    <w:rsid w:val="005927E1"/>
    <w:rsid w:val="00593A2E"/>
    <w:rsid w:val="005A4295"/>
    <w:rsid w:val="005A4E94"/>
    <w:rsid w:val="005A589F"/>
    <w:rsid w:val="005B170B"/>
    <w:rsid w:val="005B4ABA"/>
    <w:rsid w:val="005B73EB"/>
    <w:rsid w:val="005C45D5"/>
    <w:rsid w:val="005C4C8E"/>
    <w:rsid w:val="005D251A"/>
    <w:rsid w:val="005D4FA5"/>
    <w:rsid w:val="005E173C"/>
    <w:rsid w:val="005E354E"/>
    <w:rsid w:val="005F011B"/>
    <w:rsid w:val="00600333"/>
    <w:rsid w:val="00613319"/>
    <w:rsid w:val="0061438F"/>
    <w:rsid w:val="006156B1"/>
    <w:rsid w:val="00615C37"/>
    <w:rsid w:val="00615DBB"/>
    <w:rsid w:val="00621F5E"/>
    <w:rsid w:val="00630760"/>
    <w:rsid w:val="0063328B"/>
    <w:rsid w:val="00636595"/>
    <w:rsid w:val="006431A5"/>
    <w:rsid w:val="006530DC"/>
    <w:rsid w:val="00654F23"/>
    <w:rsid w:val="006551BF"/>
    <w:rsid w:val="00661117"/>
    <w:rsid w:val="0066280B"/>
    <w:rsid w:val="00664F53"/>
    <w:rsid w:val="00666460"/>
    <w:rsid w:val="0066720E"/>
    <w:rsid w:val="00667C9C"/>
    <w:rsid w:val="00671CF7"/>
    <w:rsid w:val="00673B77"/>
    <w:rsid w:val="00675CFA"/>
    <w:rsid w:val="00675F29"/>
    <w:rsid w:val="00677218"/>
    <w:rsid w:val="0067737A"/>
    <w:rsid w:val="00683A41"/>
    <w:rsid w:val="00690D92"/>
    <w:rsid w:val="006958BF"/>
    <w:rsid w:val="00697861"/>
    <w:rsid w:val="006A2912"/>
    <w:rsid w:val="006A5766"/>
    <w:rsid w:val="006A647C"/>
    <w:rsid w:val="006A74E7"/>
    <w:rsid w:val="006B2CB5"/>
    <w:rsid w:val="006B77D7"/>
    <w:rsid w:val="006B7DD1"/>
    <w:rsid w:val="006C3F73"/>
    <w:rsid w:val="006C44EE"/>
    <w:rsid w:val="006C4692"/>
    <w:rsid w:val="006C7295"/>
    <w:rsid w:val="006C786E"/>
    <w:rsid w:val="006D0C2E"/>
    <w:rsid w:val="006D22F9"/>
    <w:rsid w:val="006D30B6"/>
    <w:rsid w:val="006D3156"/>
    <w:rsid w:val="006D3A35"/>
    <w:rsid w:val="006D4B33"/>
    <w:rsid w:val="006D63D1"/>
    <w:rsid w:val="006D79CA"/>
    <w:rsid w:val="006E03C9"/>
    <w:rsid w:val="006E6D1F"/>
    <w:rsid w:val="006F1528"/>
    <w:rsid w:val="006F721C"/>
    <w:rsid w:val="007021F7"/>
    <w:rsid w:val="007028CD"/>
    <w:rsid w:val="00707057"/>
    <w:rsid w:val="00707886"/>
    <w:rsid w:val="00710111"/>
    <w:rsid w:val="0071011B"/>
    <w:rsid w:val="00712491"/>
    <w:rsid w:val="00715050"/>
    <w:rsid w:val="007213E8"/>
    <w:rsid w:val="00723125"/>
    <w:rsid w:val="00723202"/>
    <w:rsid w:val="00725AD3"/>
    <w:rsid w:val="0072639B"/>
    <w:rsid w:val="00726F54"/>
    <w:rsid w:val="00735AB0"/>
    <w:rsid w:val="00744A42"/>
    <w:rsid w:val="00745963"/>
    <w:rsid w:val="00750C3E"/>
    <w:rsid w:val="0075245E"/>
    <w:rsid w:val="0075483C"/>
    <w:rsid w:val="00756F3F"/>
    <w:rsid w:val="00762406"/>
    <w:rsid w:val="00766D2A"/>
    <w:rsid w:val="007677AB"/>
    <w:rsid w:val="007677EF"/>
    <w:rsid w:val="007707B6"/>
    <w:rsid w:val="00781672"/>
    <w:rsid w:val="00783C29"/>
    <w:rsid w:val="00785492"/>
    <w:rsid w:val="007857E5"/>
    <w:rsid w:val="007876D0"/>
    <w:rsid w:val="007942E5"/>
    <w:rsid w:val="007A2D1C"/>
    <w:rsid w:val="007A76F8"/>
    <w:rsid w:val="007B2047"/>
    <w:rsid w:val="007B4509"/>
    <w:rsid w:val="007B479F"/>
    <w:rsid w:val="007B564A"/>
    <w:rsid w:val="007B6B67"/>
    <w:rsid w:val="007C08CD"/>
    <w:rsid w:val="007C230F"/>
    <w:rsid w:val="007C39E3"/>
    <w:rsid w:val="007C6623"/>
    <w:rsid w:val="007C678A"/>
    <w:rsid w:val="007D53DF"/>
    <w:rsid w:val="007E650F"/>
    <w:rsid w:val="007F12B7"/>
    <w:rsid w:val="007F1A3E"/>
    <w:rsid w:val="007F21EF"/>
    <w:rsid w:val="007F2D3C"/>
    <w:rsid w:val="0080125C"/>
    <w:rsid w:val="00804CAD"/>
    <w:rsid w:val="008059AF"/>
    <w:rsid w:val="008107A0"/>
    <w:rsid w:val="00817E97"/>
    <w:rsid w:val="00821B0C"/>
    <w:rsid w:val="00825A39"/>
    <w:rsid w:val="00825CE4"/>
    <w:rsid w:val="00833EA1"/>
    <w:rsid w:val="008439A6"/>
    <w:rsid w:val="008444CB"/>
    <w:rsid w:val="0084646F"/>
    <w:rsid w:val="008521BB"/>
    <w:rsid w:val="00852494"/>
    <w:rsid w:val="00853C73"/>
    <w:rsid w:val="00862C29"/>
    <w:rsid w:val="00862E48"/>
    <w:rsid w:val="00863901"/>
    <w:rsid w:val="008651D1"/>
    <w:rsid w:val="0086620B"/>
    <w:rsid w:val="00870F80"/>
    <w:rsid w:val="0087738E"/>
    <w:rsid w:val="00885C9E"/>
    <w:rsid w:val="00886067"/>
    <w:rsid w:val="00892B8C"/>
    <w:rsid w:val="00897DDA"/>
    <w:rsid w:val="008A33E2"/>
    <w:rsid w:val="008A487F"/>
    <w:rsid w:val="008A5034"/>
    <w:rsid w:val="008B07BC"/>
    <w:rsid w:val="008B1F82"/>
    <w:rsid w:val="008B1FBE"/>
    <w:rsid w:val="008C49FC"/>
    <w:rsid w:val="008C7050"/>
    <w:rsid w:val="008E2DAE"/>
    <w:rsid w:val="008E7407"/>
    <w:rsid w:val="0090351A"/>
    <w:rsid w:val="00905684"/>
    <w:rsid w:val="00905889"/>
    <w:rsid w:val="0091013B"/>
    <w:rsid w:val="0091451F"/>
    <w:rsid w:val="00915BD0"/>
    <w:rsid w:val="00916557"/>
    <w:rsid w:val="009165B2"/>
    <w:rsid w:val="00921409"/>
    <w:rsid w:val="009222C5"/>
    <w:rsid w:val="00922717"/>
    <w:rsid w:val="00925D71"/>
    <w:rsid w:val="009272C1"/>
    <w:rsid w:val="00934715"/>
    <w:rsid w:val="009370E2"/>
    <w:rsid w:val="009440AD"/>
    <w:rsid w:val="00953E76"/>
    <w:rsid w:val="00954D96"/>
    <w:rsid w:val="009667EA"/>
    <w:rsid w:val="009719F3"/>
    <w:rsid w:val="0097481A"/>
    <w:rsid w:val="00976132"/>
    <w:rsid w:val="00982CDB"/>
    <w:rsid w:val="00983CBC"/>
    <w:rsid w:val="00994423"/>
    <w:rsid w:val="009A0946"/>
    <w:rsid w:val="009A2F7A"/>
    <w:rsid w:val="009B3AB5"/>
    <w:rsid w:val="009B553E"/>
    <w:rsid w:val="009B6268"/>
    <w:rsid w:val="009B63C7"/>
    <w:rsid w:val="009B7724"/>
    <w:rsid w:val="009B77B8"/>
    <w:rsid w:val="009B7B5F"/>
    <w:rsid w:val="009C097A"/>
    <w:rsid w:val="009C3D55"/>
    <w:rsid w:val="009C4648"/>
    <w:rsid w:val="009C6AF7"/>
    <w:rsid w:val="009D0A99"/>
    <w:rsid w:val="009D2222"/>
    <w:rsid w:val="009D2E4D"/>
    <w:rsid w:val="009E2280"/>
    <w:rsid w:val="009E4EE7"/>
    <w:rsid w:val="009E7D26"/>
    <w:rsid w:val="009F1D4A"/>
    <w:rsid w:val="009F6464"/>
    <w:rsid w:val="00A03310"/>
    <w:rsid w:val="00A06A34"/>
    <w:rsid w:val="00A1089D"/>
    <w:rsid w:val="00A11F1E"/>
    <w:rsid w:val="00A14ED8"/>
    <w:rsid w:val="00A20E90"/>
    <w:rsid w:val="00A24625"/>
    <w:rsid w:val="00A264A1"/>
    <w:rsid w:val="00A3008D"/>
    <w:rsid w:val="00A42092"/>
    <w:rsid w:val="00A4260E"/>
    <w:rsid w:val="00A44AB6"/>
    <w:rsid w:val="00A46AE6"/>
    <w:rsid w:val="00A47CCB"/>
    <w:rsid w:val="00A51A34"/>
    <w:rsid w:val="00A54621"/>
    <w:rsid w:val="00A621BD"/>
    <w:rsid w:val="00A6411C"/>
    <w:rsid w:val="00A648BC"/>
    <w:rsid w:val="00A72340"/>
    <w:rsid w:val="00A771A4"/>
    <w:rsid w:val="00A82C60"/>
    <w:rsid w:val="00A832E2"/>
    <w:rsid w:val="00A84B21"/>
    <w:rsid w:val="00A95FF2"/>
    <w:rsid w:val="00A96383"/>
    <w:rsid w:val="00AA466E"/>
    <w:rsid w:val="00AA537B"/>
    <w:rsid w:val="00AA599D"/>
    <w:rsid w:val="00AB2221"/>
    <w:rsid w:val="00AB4215"/>
    <w:rsid w:val="00AB4477"/>
    <w:rsid w:val="00AB72CA"/>
    <w:rsid w:val="00AC0508"/>
    <w:rsid w:val="00AC47D9"/>
    <w:rsid w:val="00AC7139"/>
    <w:rsid w:val="00AC759C"/>
    <w:rsid w:val="00AD25C9"/>
    <w:rsid w:val="00AD2D5D"/>
    <w:rsid w:val="00AD37AB"/>
    <w:rsid w:val="00AD7570"/>
    <w:rsid w:val="00AE2A5F"/>
    <w:rsid w:val="00AE3E81"/>
    <w:rsid w:val="00AE4085"/>
    <w:rsid w:val="00AE4156"/>
    <w:rsid w:val="00AE4272"/>
    <w:rsid w:val="00AE6CB2"/>
    <w:rsid w:val="00AE7CF6"/>
    <w:rsid w:val="00AF10DB"/>
    <w:rsid w:val="00AF2486"/>
    <w:rsid w:val="00AF4493"/>
    <w:rsid w:val="00AF6398"/>
    <w:rsid w:val="00AF64F0"/>
    <w:rsid w:val="00B006AC"/>
    <w:rsid w:val="00B01A5F"/>
    <w:rsid w:val="00B07CC9"/>
    <w:rsid w:val="00B11DC5"/>
    <w:rsid w:val="00B11EB0"/>
    <w:rsid w:val="00B1497D"/>
    <w:rsid w:val="00B15CF4"/>
    <w:rsid w:val="00B168B0"/>
    <w:rsid w:val="00B174AD"/>
    <w:rsid w:val="00B17BA8"/>
    <w:rsid w:val="00B20E47"/>
    <w:rsid w:val="00B22F8C"/>
    <w:rsid w:val="00B23006"/>
    <w:rsid w:val="00B31BC5"/>
    <w:rsid w:val="00B33D93"/>
    <w:rsid w:val="00B37CEF"/>
    <w:rsid w:val="00B448EA"/>
    <w:rsid w:val="00B45285"/>
    <w:rsid w:val="00B50C8F"/>
    <w:rsid w:val="00B52D75"/>
    <w:rsid w:val="00B57608"/>
    <w:rsid w:val="00B57FEA"/>
    <w:rsid w:val="00B619BA"/>
    <w:rsid w:val="00B66ADC"/>
    <w:rsid w:val="00B70A6D"/>
    <w:rsid w:val="00B717C9"/>
    <w:rsid w:val="00B721FC"/>
    <w:rsid w:val="00B7549F"/>
    <w:rsid w:val="00B82391"/>
    <w:rsid w:val="00B8601E"/>
    <w:rsid w:val="00B87CD6"/>
    <w:rsid w:val="00B91664"/>
    <w:rsid w:val="00B97989"/>
    <w:rsid w:val="00BA38F1"/>
    <w:rsid w:val="00BA398F"/>
    <w:rsid w:val="00BA45BB"/>
    <w:rsid w:val="00BB13BB"/>
    <w:rsid w:val="00BB542A"/>
    <w:rsid w:val="00BB7C48"/>
    <w:rsid w:val="00BC07E7"/>
    <w:rsid w:val="00BC0BA6"/>
    <w:rsid w:val="00BC34ED"/>
    <w:rsid w:val="00BC3D51"/>
    <w:rsid w:val="00BC4E80"/>
    <w:rsid w:val="00BD0254"/>
    <w:rsid w:val="00BD6B43"/>
    <w:rsid w:val="00BE0681"/>
    <w:rsid w:val="00BE76D7"/>
    <w:rsid w:val="00BF1BEA"/>
    <w:rsid w:val="00BF22BE"/>
    <w:rsid w:val="00BF24B8"/>
    <w:rsid w:val="00BF35F8"/>
    <w:rsid w:val="00C02C19"/>
    <w:rsid w:val="00C10A5B"/>
    <w:rsid w:val="00C16B57"/>
    <w:rsid w:val="00C219EB"/>
    <w:rsid w:val="00C247C0"/>
    <w:rsid w:val="00C259E1"/>
    <w:rsid w:val="00C31D53"/>
    <w:rsid w:val="00C34C69"/>
    <w:rsid w:val="00C35739"/>
    <w:rsid w:val="00C4324C"/>
    <w:rsid w:val="00C469C0"/>
    <w:rsid w:val="00C479DD"/>
    <w:rsid w:val="00C504E1"/>
    <w:rsid w:val="00C52326"/>
    <w:rsid w:val="00C534D3"/>
    <w:rsid w:val="00C61B27"/>
    <w:rsid w:val="00C6255F"/>
    <w:rsid w:val="00C65F8A"/>
    <w:rsid w:val="00C71886"/>
    <w:rsid w:val="00C74E03"/>
    <w:rsid w:val="00C779C8"/>
    <w:rsid w:val="00C824BB"/>
    <w:rsid w:val="00C8407A"/>
    <w:rsid w:val="00C843A3"/>
    <w:rsid w:val="00C905AC"/>
    <w:rsid w:val="00C92E04"/>
    <w:rsid w:val="00C962C2"/>
    <w:rsid w:val="00C97FA2"/>
    <w:rsid w:val="00CA1DF4"/>
    <w:rsid w:val="00CA548F"/>
    <w:rsid w:val="00CA6324"/>
    <w:rsid w:val="00CA671B"/>
    <w:rsid w:val="00CA71E6"/>
    <w:rsid w:val="00CB35CA"/>
    <w:rsid w:val="00CB4279"/>
    <w:rsid w:val="00CB663D"/>
    <w:rsid w:val="00CC0C53"/>
    <w:rsid w:val="00CC361F"/>
    <w:rsid w:val="00CD1A4D"/>
    <w:rsid w:val="00CD2622"/>
    <w:rsid w:val="00CD506F"/>
    <w:rsid w:val="00CE4DB8"/>
    <w:rsid w:val="00CE5633"/>
    <w:rsid w:val="00CE713D"/>
    <w:rsid w:val="00CF010B"/>
    <w:rsid w:val="00CF694F"/>
    <w:rsid w:val="00CF6F1A"/>
    <w:rsid w:val="00D007DF"/>
    <w:rsid w:val="00D00B1D"/>
    <w:rsid w:val="00D0188C"/>
    <w:rsid w:val="00D059A6"/>
    <w:rsid w:val="00D0653A"/>
    <w:rsid w:val="00D134A4"/>
    <w:rsid w:val="00D138D6"/>
    <w:rsid w:val="00D141E4"/>
    <w:rsid w:val="00D26263"/>
    <w:rsid w:val="00D31E4D"/>
    <w:rsid w:val="00D3253A"/>
    <w:rsid w:val="00D33AA3"/>
    <w:rsid w:val="00D34A6B"/>
    <w:rsid w:val="00D4000F"/>
    <w:rsid w:val="00D403F1"/>
    <w:rsid w:val="00D42074"/>
    <w:rsid w:val="00D42611"/>
    <w:rsid w:val="00D51DE4"/>
    <w:rsid w:val="00D57D90"/>
    <w:rsid w:val="00D62001"/>
    <w:rsid w:val="00D637E9"/>
    <w:rsid w:val="00D66538"/>
    <w:rsid w:val="00D66A38"/>
    <w:rsid w:val="00D66AC8"/>
    <w:rsid w:val="00D7246D"/>
    <w:rsid w:val="00D741FB"/>
    <w:rsid w:val="00D85FA5"/>
    <w:rsid w:val="00D9072C"/>
    <w:rsid w:val="00D968AA"/>
    <w:rsid w:val="00D97FB9"/>
    <w:rsid w:val="00DA32CB"/>
    <w:rsid w:val="00DB0EAC"/>
    <w:rsid w:val="00DB3FCC"/>
    <w:rsid w:val="00DB65C0"/>
    <w:rsid w:val="00DC450C"/>
    <w:rsid w:val="00DC6FCD"/>
    <w:rsid w:val="00DD18C3"/>
    <w:rsid w:val="00DD1D38"/>
    <w:rsid w:val="00DD3EDC"/>
    <w:rsid w:val="00DD4787"/>
    <w:rsid w:val="00DD68C6"/>
    <w:rsid w:val="00DE2919"/>
    <w:rsid w:val="00DE6A4E"/>
    <w:rsid w:val="00DF39EC"/>
    <w:rsid w:val="00DF4E1E"/>
    <w:rsid w:val="00E026E7"/>
    <w:rsid w:val="00E070F3"/>
    <w:rsid w:val="00E10257"/>
    <w:rsid w:val="00E12E26"/>
    <w:rsid w:val="00E178D9"/>
    <w:rsid w:val="00E21167"/>
    <w:rsid w:val="00E2239B"/>
    <w:rsid w:val="00E24DBF"/>
    <w:rsid w:val="00E26BDF"/>
    <w:rsid w:val="00E30E12"/>
    <w:rsid w:val="00E316EA"/>
    <w:rsid w:val="00E34F58"/>
    <w:rsid w:val="00E37580"/>
    <w:rsid w:val="00E42ADB"/>
    <w:rsid w:val="00E4670E"/>
    <w:rsid w:val="00E505C6"/>
    <w:rsid w:val="00E52011"/>
    <w:rsid w:val="00E548AD"/>
    <w:rsid w:val="00E56570"/>
    <w:rsid w:val="00E63CBC"/>
    <w:rsid w:val="00E6508C"/>
    <w:rsid w:val="00E67C0C"/>
    <w:rsid w:val="00E70FD2"/>
    <w:rsid w:val="00E713D9"/>
    <w:rsid w:val="00E813A4"/>
    <w:rsid w:val="00E8243A"/>
    <w:rsid w:val="00E838CA"/>
    <w:rsid w:val="00E83FC4"/>
    <w:rsid w:val="00E842DF"/>
    <w:rsid w:val="00E85D8C"/>
    <w:rsid w:val="00E97A16"/>
    <w:rsid w:val="00EA3796"/>
    <w:rsid w:val="00EA48B9"/>
    <w:rsid w:val="00EA558C"/>
    <w:rsid w:val="00EB5E73"/>
    <w:rsid w:val="00EB769C"/>
    <w:rsid w:val="00EC0CB2"/>
    <w:rsid w:val="00EC1FD3"/>
    <w:rsid w:val="00EC2CD5"/>
    <w:rsid w:val="00EC7527"/>
    <w:rsid w:val="00EC7A76"/>
    <w:rsid w:val="00ED26CA"/>
    <w:rsid w:val="00ED333A"/>
    <w:rsid w:val="00EE2E92"/>
    <w:rsid w:val="00EE6320"/>
    <w:rsid w:val="00EE68F7"/>
    <w:rsid w:val="00EE7397"/>
    <w:rsid w:val="00EF6619"/>
    <w:rsid w:val="00F06EE6"/>
    <w:rsid w:val="00F07535"/>
    <w:rsid w:val="00F10FA1"/>
    <w:rsid w:val="00F1212E"/>
    <w:rsid w:val="00F17608"/>
    <w:rsid w:val="00F21567"/>
    <w:rsid w:val="00F241B3"/>
    <w:rsid w:val="00F24931"/>
    <w:rsid w:val="00F36F04"/>
    <w:rsid w:val="00F41D63"/>
    <w:rsid w:val="00F42D49"/>
    <w:rsid w:val="00F44A88"/>
    <w:rsid w:val="00F51924"/>
    <w:rsid w:val="00F52A01"/>
    <w:rsid w:val="00F575BC"/>
    <w:rsid w:val="00F57E55"/>
    <w:rsid w:val="00F6081D"/>
    <w:rsid w:val="00F61240"/>
    <w:rsid w:val="00F643BB"/>
    <w:rsid w:val="00F67EA4"/>
    <w:rsid w:val="00F71073"/>
    <w:rsid w:val="00F71A1C"/>
    <w:rsid w:val="00F74CC6"/>
    <w:rsid w:val="00F7559A"/>
    <w:rsid w:val="00F77D0B"/>
    <w:rsid w:val="00F8390F"/>
    <w:rsid w:val="00F86734"/>
    <w:rsid w:val="00F936AF"/>
    <w:rsid w:val="00FA14B5"/>
    <w:rsid w:val="00FA4478"/>
    <w:rsid w:val="00FB491B"/>
    <w:rsid w:val="00FB5C1A"/>
    <w:rsid w:val="00FB68A0"/>
    <w:rsid w:val="00FB7F62"/>
    <w:rsid w:val="00FB7F88"/>
    <w:rsid w:val="00FD3353"/>
    <w:rsid w:val="00FE11F2"/>
    <w:rsid w:val="00FE479B"/>
    <w:rsid w:val="00FE4C68"/>
    <w:rsid w:val="00FF20DB"/>
    <w:rsid w:val="00FF2F5A"/>
    <w:rsid w:val="00FF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5470153"/>
  <w14:defaultImageDpi w14:val="300"/>
  <w15:docId w15:val="{3AD58D07-7F6C-4E89-8567-753CDD0B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12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66AB"/>
    <w:rPr>
      <w:rFonts w:ascii="Arial" w:eastAsia="Calibri" w:hAnsi="Arial" w:cs="Arial"/>
      <w:sz w:val="22"/>
      <w:szCs w:val="22"/>
    </w:rPr>
  </w:style>
  <w:style w:type="paragraph" w:styleId="Heading1">
    <w:name w:val="heading 1"/>
    <w:basedOn w:val="Heading2"/>
    <w:next w:val="Normal"/>
    <w:link w:val="Heading1Char"/>
    <w:uiPriority w:val="9"/>
    <w:qFormat/>
    <w:rsid w:val="00A648BC"/>
    <w:pPr>
      <w:outlineLvl w:val="0"/>
    </w:pPr>
    <w:rPr>
      <w:i w:val="0"/>
      <w:color w:val="00B0F0"/>
    </w:rPr>
  </w:style>
  <w:style w:type="paragraph" w:styleId="Heading2">
    <w:name w:val="heading 2"/>
    <w:basedOn w:val="Normal"/>
    <w:next w:val="Normal"/>
    <w:link w:val="Heading2Char"/>
    <w:uiPriority w:val="9"/>
    <w:unhideWhenUsed/>
    <w:qFormat/>
    <w:rsid w:val="00A648BC"/>
    <w:pPr>
      <w:outlineLvl w:val="1"/>
    </w:pPr>
    <w:rPr>
      <w:b/>
      <w:i/>
    </w:rPr>
  </w:style>
  <w:style w:type="paragraph" w:styleId="Heading3">
    <w:name w:val="heading 3"/>
    <w:basedOn w:val="Normal"/>
    <w:next w:val="Normal"/>
    <w:link w:val="Heading3Char"/>
    <w:uiPriority w:val="9"/>
    <w:semiHidden/>
    <w:unhideWhenUsed/>
    <w:qFormat/>
    <w:rsid w:val="00C905AC"/>
    <w:pPr>
      <w:keepNext/>
      <w:keepLines/>
      <w:spacing w:before="40" w:after="0"/>
      <w:outlineLvl w:val="2"/>
    </w:pPr>
    <w:rPr>
      <w:rFonts w:asciiTheme="majorHAnsi" w:eastAsiaTheme="majorEastAsia" w:hAnsiTheme="majorHAnsi" w:cstheme="majorBidi"/>
      <w:color w:val="03274C"/>
      <w:sz w:val="24"/>
      <w:szCs w:val="24"/>
    </w:rPr>
  </w:style>
  <w:style w:type="paragraph" w:styleId="Heading4">
    <w:name w:val="heading 4"/>
    <w:basedOn w:val="Normal"/>
    <w:next w:val="Normal"/>
    <w:link w:val="Heading4Char"/>
    <w:uiPriority w:val="9"/>
    <w:semiHidden/>
    <w:unhideWhenUsed/>
    <w:qFormat/>
    <w:rsid w:val="00A648BC"/>
    <w:pPr>
      <w:keepNext/>
      <w:keepLines/>
      <w:spacing w:before="40" w:after="0"/>
      <w:outlineLvl w:val="3"/>
    </w:pPr>
    <w:rPr>
      <w:rFonts w:asciiTheme="majorHAnsi" w:eastAsiaTheme="majorEastAsia" w:hAnsiTheme="majorHAnsi" w:cstheme="majorBidi"/>
      <w:i/>
      <w:iCs/>
      <w:color w:val="0F6F9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0F3"/>
    <w:pPr>
      <w:tabs>
        <w:tab w:val="center" w:pos="4320"/>
        <w:tab w:val="right" w:pos="8640"/>
      </w:tabs>
    </w:pPr>
  </w:style>
  <w:style w:type="character" w:customStyle="1" w:styleId="HeaderChar">
    <w:name w:val="Header Char"/>
    <w:basedOn w:val="DefaultParagraphFont"/>
    <w:link w:val="Header"/>
    <w:uiPriority w:val="99"/>
    <w:rsid w:val="00E070F3"/>
  </w:style>
  <w:style w:type="paragraph" w:styleId="Footer">
    <w:name w:val="footer"/>
    <w:basedOn w:val="Normal"/>
    <w:link w:val="FooterChar"/>
    <w:uiPriority w:val="99"/>
    <w:unhideWhenUsed/>
    <w:rsid w:val="00E070F3"/>
    <w:pPr>
      <w:tabs>
        <w:tab w:val="center" w:pos="4320"/>
        <w:tab w:val="right" w:pos="8640"/>
      </w:tabs>
    </w:pPr>
  </w:style>
  <w:style w:type="character" w:customStyle="1" w:styleId="FooterChar">
    <w:name w:val="Footer Char"/>
    <w:basedOn w:val="DefaultParagraphFont"/>
    <w:link w:val="Footer"/>
    <w:uiPriority w:val="99"/>
    <w:rsid w:val="00E070F3"/>
  </w:style>
  <w:style w:type="paragraph" w:styleId="BalloonText">
    <w:name w:val="Balloon Text"/>
    <w:basedOn w:val="Normal"/>
    <w:link w:val="BalloonTextChar"/>
    <w:uiPriority w:val="99"/>
    <w:semiHidden/>
    <w:unhideWhenUsed/>
    <w:rsid w:val="00E070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70F3"/>
    <w:rPr>
      <w:rFonts w:ascii="Lucida Grande" w:hAnsi="Lucida Grande" w:cs="Lucida Grande"/>
      <w:sz w:val="18"/>
      <w:szCs w:val="18"/>
    </w:rPr>
  </w:style>
  <w:style w:type="paragraph" w:customStyle="1" w:styleId="BasicParagraph">
    <w:name w:val="[Basic Paragraph]"/>
    <w:basedOn w:val="Normal"/>
    <w:uiPriority w:val="99"/>
    <w:rsid w:val="00E070F3"/>
    <w:pPr>
      <w:widowControl w:val="0"/>
      <w:autoSpaceDE w:val="0"/>
      <w:autoSpaceDN w:val="0"/>
      <w:adjustRightInd w:val="0"/>
      <w:textAlignment w:val="center"/>
    </w:pPr>
    <w:rPr>
      <w:rFonts w:ascii="MinionPro-Regular" w:hAnsi="MinionPro-Regular" w:cs="MinionPro-Regular"/>
      <w:color w:val="000000"/>
    </w:rPr>
  </w:style>
  <w:style w:type="paragraph" w:customStyle="1" w:styleId="BasicParagraphRF">
    <w:name w:val="Basic Paragraph (RF)"/>
    <w:basedOn w:val="Normal"/>
    <w:link w:val="BasicParagraphRFChar"/>
    <w:qFormat/>
    <w:rsid w:val="002F6234"/>
  </w:style>
  <w:style w:type="character" w:customStyle="1" w:styleId="BasicParagraphRFChar">
    <w:name w:val="Basic Paragraph (RF) Char"/>
    <w:basedOn w:val="DefaultParagraphFont"/>
    <w:link w:val="BasicParagraphRF"/>
    <w:rsid w:val="002F6234"/>
    <w:rPr>
      <w:rFonts w:ascii="Arial" w:eastAsia="Calibri" w:hAnsi="Arial" w:cs="Arial"/>
      <w:sz w:val="22"/>
      <w:szCs w:val="22"/>
    </w:rPr>
  </w:style>
  <w:style w:type="paragraph" w:customStyle="1" w:styleId="DisclosurecopyRF">
    <w:name w:val="Disclosure copy (RF)"/>
    <w:basedOn w:val="Normal"/>
    <w:qFormat/>
    <w:rsid w:val="00C905AC"/>
    <w:pPr>
      <w:suppressAutoHyphens/>
      <w:spacing w:line="264" w:lineRule="auto"/>
      <w:jc w:val="both"/>
    </w:pPr>
    <w:rPr>
      <w:rFonts w:eastAsia="Cambria"/>
      <w:i/>
      <w:iCs/>
      <w:color w:val="9D8C84"/>
      <w:sz w:val="16"/>
      <w:szCs w:val="15"/>
    </w:rPr>
  </w:style>
  <w:style w:type="character" w:customStyle="1" w:styleId="HeadingallcapsRF">
    <w:name w:val="Heading all caps (RF)"/>
    <w:qFormat/>
    <w:rsid w:val="002C1B5D"/>
    <w:rPr>
      <w:rFonts w:ascii="Arial" w:hAnsi="Arial" w:cs="Arial"/>
      <w:b/>
      <w:color w:val="03274C"/>
      <w:sz w:val="36"/>
      <w:szCs w:val="40"/>
    </w:rPr>
  </w:style>
  <w:style w:type="character" w:styleId="PageNumber">
    <w:name w:val="page number"/>
    <w:basedOn w:val="DefaultParagraphFont"/>
    <w:uiPriority w:val="99"/>
    <w:semiHidden/>
    <w:unhideWhenUsed/>
    <w:rsid w:val="00E070F3"/>
  </w:style>
  <w:style w:type="character" w:customStyle="1" w:styleId="NoSpacingChar">
    <w:name w:val="No Spacing Char"/>
    <w:basedOn w:val="DefaultParagraphFont"/>
    <w:link w:val="NoSpacing"/>
    <w:locked/>
    <w:rsid w:val="0080125C"/>
  </w:style>
  <w:style w:type="paragraph" w:styleId="NoSpacing">
    <w:name w:val="No Spacing"/>
    <w:basedOn w:val="Normal"/>
    <w:link w:val="NoSpacingChar"/>
    <w:qFormat/>
    <w:rsid w:val="0080125C"/>
  </w:style>
  <w:style w:type="table" w:styleId="TableGrid">
    <w:name w:val="Table Grid"/>
    <w:basedOn w:val="TableNormal"/>
    <w:uiPriority w:val="59"/>
    <w:rsid w:val="002C5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74B4"/>
    <w:rPr>
      <w:sz w:val="16"/>
      <w:szCs w:val="16"/>
    </w:rPr>
  </w:style>
  <w:style w:type="paragraph" w:styleId="CommentText">
    <w:name w:val="annotation text"/>
    <w:basedOn w:val="Normal"/>
    <w:link w:val="CommentTextChar"/>
    <w:uiPriority w:val="99"/>
    <w:semiHidden/>
    <w:unhideWhenUsed/>
    <w:rsid w:val="004F74B4"/>
    <w:rPr>
      <w:sz w:val="20"/>
      <w:szCs w:val="20"/>
    </w:rPr>
  </w:style>
  <w:style w:type="character" w:customStyle="1" w:styleId="CommentTextChar">
    <w:name w:val="Comment Text Char"/>
    <w:basedOn w:val="DefaultParagraphFont"/>
    <w:link w:val="CommentText"/>
    <w:uiPriority w:val="99"/>
    <w:semiHidden/>
    <w:rsid w:val="004F74B4"/>
    <w:rPr>
      <w:sz w:val="20"/>
      <w:szCs w:val="20"/>
    </w:rPr>
  </w:style>
  <w:style w:type="paragraph" w:styleId="CommentSubject">
    <w:name w:val="annotation subject"/>
    <w:basedOn w:val="CommentText"/>
    <w:next w:val="CommentText"/>
    <w:link w:val="CommentSubjectChar"/>
    <w:uiPriority w:val="99"/>
    <w:semiHidden/>
    <w:unhideWhenUsed/>
    <w:rsid w:val="004F74B4"/>
    <w:rPr>
      <w:b/>
      <w:bCs/>
    </w:rPr>
  </w:style>
  <w:style w:type="character" w:customStyle="1" w:styleId="CommentSubjectChar">
    <w:name w:val="Comment Subject Char"/>
    <w:basedOn w:val="CommentTextChar"/>
    <w:link w:val="CommentSubject"/>
    <w:uiPriority w:val="99"/>
    <w:semiHidden/>
    <w:rsid w:val="004F74B4"/>
    <w:rPr>
      <w:b/>
      <w:bCs/>
      <w:sz w:val="20"/>
      <w:szCs w:val="20"/>
    </w:rPr>
  </w:style>
  <w:style w:type="paragraph" w:styleId="Revision">
    <w:name w:val="Revision"/>
    <w:hidden/>
    <w:uiPriority w:val="99"/>
    <w:semiHidden/>
    <w:rsid w:val="001247D6"/>
  </w:style>
  <w:style w:type="character" w:styleId="Hyperlink">
    <w:name w:val="Hyperlink"/>
    <w:basedOn w:val="DefaultParagraphFont"/>
    <w:uiPriority w:val="99"/>
    <w:unhideWhenUsed/>
    <w:rsid w:val="003A6E3B"/>
    <w:rPr>
      <w:color w:val="1595D3" w:themeColor="hyperlink"/>
      <w:u w:val="single"/>
    </w:rPr>
  </w:style>
  <w:style w:type="character" w:styleId="UnresolvedMention">
    <w:name w:val="Unresolved Mention"/>
    <w:basedOn w:val="DefaultParagraphFont"/>
    <w:uiPriority w:val="99"/>
    <w:semiHidden/>
    <w:unhideWhenUsed/>
    <w:rsid w:val="003A6E3B"/>
    <w:rPr>
      <w:color w:val="605E5C"/>
      <w:shd w:val="clear" w:color="auto" w:fill="E1DFDD"/>
    </w:rPr>
  </w:style>
  <w:style w:type="paragraph" w:styleId="ListParagraph">
    <w:name w:val="List Paragraph"/>
    <w:basedOn w:val="Normal"/>
    <w:uiPriority w:val="34"/>
    <w:qFormat/>
    <w:rsid w:val="00C905AC"/>
    <w:pPr>
      <w:numPr>
        <w:numId w:val="9"/>
      </w:numPr>
      <w:contextualSpacing/>
    </w:pPr>
  </w:style>
  <w:style w:type="character" w:styleId="SubtleEmphasis">
    <w:name w:val="Subtle Emphasis"/>
    <w:aliases w:val="Associate Title"/>
    <w:uiPriority w:val="19"/>
    <w:qFormat/>
    <w:rsid w:val="00A648BC"/>
    <w:rPr>
      <w:rFonts w:ascii="Arial" w:eastAsiaTheme="minorEastAsia" w:hAnsi="Arial"/>
      <w:color w:val="000000"/>
      <w:sz w:val="14"/>
      <w:szCs w:val="14"/>
    </w:rPr>
  </w:style>
  <w:style w:type="character" w:customStyle="1" w:styleId="Heading2Char">
    <w:name w:val="Heading 2 Char"/>
    <w:basedOn w:val="DefaultParagraphFont"/>
    <w:link w:val="Heading2"/>
    <w:uiPriority w:val="9"/>
    <w:rsid w:val="00A648BC"/>
    <w:rPr>
      <w:rFonts w:ascii="Arial" w:eastAsia="Calibri" w:hAnsi="Arial" w:cs="Arial"/>
      <w:b/>
      <w:i/>
      <w:sz w:val="22"/>
      <w:szCs w:val="22"/>
    </w:rPr>
  </w:style>
  <w:style w:type="paragraph" w:styleId="Subtitle">
    <w:name w:val="Subtitle"/>
    <w:basedOn w:val="Normal"/>
    <w:next w:val="Normal"/>
    <w:link w:val="SubtitleChar"/>
    <w:uiPriority w:val="11"/>
    <w:qFormat/>
    <w:rsid w:val="002F6234"/>
    <w:rPr>
      <w:sz w:val="16"/>
    </w:rPr>
  </w:style>
  <w:style w:type="character" w:customStyle="1" w:styleId="SubtitleChar">
    <w:name w:val="Subtitle Char"/>
    <w:basedOn w:val="DefaultParagraphFont"/>
    <w:link w:val="Subtitle"/>
    <w:uiPriority w:val="11"/>
    <w:rsid w:val="002F6234"/>
    <w:rPr>
      <w:rFonts w:ascii="Arial" w:eastAsia="Calibri" w:hAnsi="Arial" w:cs="Arial"/>
      <w:sz w:val="16"/>
      <w:szCs w:val="22"/>
    </w:rPr>
  </w:style>
  <w:style w:type="character" w:customStyle="1" w:styleId="Heading3Char">
    <w:name w:val="Heading 3 Char"/>
    <w:basedOn w:val="DefaultParagraphFont"/>
    <w:link w:val="Heading3"/>
    <w:uiPriority w:val="9"/>
    <w:semiHidden/>
    <w:rsid w:val="00C905AC"/>
    <w:rPr>
      <w:rFonts w:asciiTheme="majorHAnsi" w:eastAsiaTheme="majorEastAsia" w:hAnsiTheme="majorHAnsi" w:cstheme="majorBidi"/>
      <w:color w:val="03274C"/>
    </w:rPr>
  </w:style>
  <w:style w:type="character" w:styleId="Strong">
    <w:name w:val="Strong"/>
    <w:aliases w:val="Side Bar Bullets"/>
    <w:uiPriority w:val="22"/>
    <w:qFormat/>
    <w:rsid w:val="002F6234"/>
    <w:rPr>
      <w:rFonts w:ascii="Arial" w:hAnsi="Arial"/>
      <w:sz w:val="20"/>
    </w:rPr>
  </w:style>
  <w:style w:type="character" w:styleId="Emphasis">
    <w:name w:val="Emphasis"/>
    <w:basedOn w:val="Strong"/>
    <w:uiPriority w:val="20"/>
    <w:qFormat/>
    <w:rsid w:val="002F6234"/>
    <w:rPr>
      <w:rFonts w:ascii="Arial" w:hAnsi="Arial"/>
      <w:sz w:val="20"/>
    </w:rPr>
  </w:style>
  <w:style w:type="character" w:styleId="IntenseReference">
    <w:name w:val="Intense Reference"/>
    <w:uiPriority w:val="32"/>
    <w:qFormat/>
    <w:rsid w:val="000B543A"/>
    <w:rPr>
      <w:b/>
    </w:rPr>
  </w:style>
  <w:style w:type="character" w:customStyle="1" w:styleId="Heading4Char">
    <w:name w:val="Heading 4 Char"/>
    <w:basedOn w:val="DefaultParagraphFont"/>
    <w:link w:val="Heading4"/>
    <w:uiPriority w:val="9"/>
    <w:semiHidden/>
    <w:rsid w:val="00A648BC"/>
    <w:rPr>
      <w:rFonts w:asciiTheme="majorHAnsi" w:eastAsiaTheme="majorEastAsia" w:hAnsiTheme="majorHAnsi" w:cstheme="majorBidi"/>
      <w:i/>
      <w:iCs/>
      <w:color w:val="0F6F9D" w:themeColor="accent1" w:themeShade="BF"/>
      <w:sz w:val="22"/>
      <w:szCs w:val="22"/>
    </w:rPr>
  </w:style>
  <w:style w:type="paragraph" w:styleId="Title">
    <w:name w:val="Title"/>
    <w:aliases w:val="Associate Name"/>
    <w:basedOn w:val="Normal"/>
    <w:next w:val="Normal"/>
    <w:link w:val="TitleChar"/>
    <w:uiPriority w:val="10"/>
    <w:qFormat/>
    <w:rsid w:val="00C905AC"/>
    <w:pPr>
      <w:widowControl w:val="0"/>
      <w:autoSpaceDE w:val="0"/>
      <w:autoSpaceDN w:val="0"/>
      <w:adjustRightInd w:val="0"/>
      <w:spacing w:after="0"/>
      <w:textAlignment w:val="center"/>
    </w:pPr>
    <w:rPr>
      <w:rFonts w:eastAsiaTheme="minorEastAsia"/>
      <w:color w:val="03274C"/>
      <w:sz w:val="20"/>
      <w:szCs w:val="20"/>
    </w:rPr>
  </w:style>
  <w:style w:type="character" w:customStyle="1" w:styleId="TitleChar">
    <w:name w:val="Title Char"/>
    <w:aliases w:val="Associate Name Char"/>
    <w:basedOn w:val="DefaultParagraphFont"/>
    <w:link w:val="Title"/>
    <w:uiPriority w:val="10"/>
    <w:rsid w:val="00C905AC"/>
    <w:rPr>
      <w:rFonts w:ascii="Arial" w:hAnsi="Arial" w:cs="Arial"/>
      <w:color w:val="03274C"/>
      <w:sz w:val="20"/>
      <w:szCs w:val="20"/>
    </w:rPr>
  </w:style>
  <w:style w:type="character" w:customStyle="1" w:styleId="Heading1Char">
    <w:name w:val="Heading 1 Char"/>
    <w:basedOn w:val="DefaultParagraphFont"/>
    <w:link w:val="Heading1"/>
    <w:uiPriority w:val="9"/>
    <w:rsid w:val="00A648BC"/>
    <w:rPr>
      <w:rFonts w:ascii="Arial" w:eastAsia="Calibri" w:hAnsi="Arial" w:cs="Arial"/>
      <w:b/>
      <w:color w:val="00B0F0"/>
      <w:sz w:val="22"/>
      <w:szCs w:val="22"/>
    </w:rPr>
  </w:style>
  <w:style w:type="paragraph" w:styleId="PlainText">
    <w:name w:val="Plain Text"/>
    <w:basedOn w:val="Normal"/>
    <w:link w:val="PlainTextChar"/>
    <w:uiPriority w:val="99"/>
    <w:unhideWhenUsed/>
    <w:rsid w:val="00D66AC8"/>
    <w:pPr>
      <w:spacing w:after="0"/>
    </w:pPr>
    <w:rPr>
      <w:rFonts w:ascii="Calibri" w:eastAsiaTheme="minorHAnsi" w:hAnsi="Calibri" w:cs="Consolas"/>
      <w:szCs w:val="21"/>
    </w:rPr>
  </w:style>
  <w:style w:type="character" w:customStyle="1" w:styleId="PlainTextChar">
    <w:name w:val="Plain Text Char"/>
    <w:basedOn w:val="DefaultParagraphFont"/>
    <w:link w:val="PlainText"/>
    <w:uiPriority w:val="99"/>
    <w:rsid w:val="00D66AC8"/>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50231">
      <w:bodyDiv w:val="1"/>
      <w:marLeft w:val="0"/>
      <w:marRight w:val="0"/>
      <w:marTop w:val="0"/>
      <w:marBottom w:val="0"/>
      <w:divBdr>
        <w:top w:val="none" w:sz="0" w:space="0" w:color="auto"/>
        <w:left w:val="none" w:sz="0" w:space="0" w:color="auto"/>
        <w:bottom w:val="none" w:sz="0" w:space="0" w:color="auto"/>
        <w:right w:val="none" w:sz="0" w:space="0" w:color="auto"/>
      </w:divBdr>
    </w:div>
    <w:div w:id="289438535">
      <w:bodyDiv w:val="1"/>
      <w:marLeft w:val="0"/>
      <w:marRight w:val="0"/>
      <w:marTop w:val="0"/>
      <w:marBottom w:val="0"/>
      <w:divBdr>
        <w:top w:val="none" w:sz="0" w:space="0" w:color="auto"/>
        <w:left w:val="none" w:sz="0" w:space="0" w:color="auto"/>
        <w:bottom w:val="none" w:sz="0" w:space="0" w:color="auto"/>
        <w:right w:val="none" w:sz="0" w:space="0" w:color="auto"/>
      </w:divBdr>
    </w:div>
    <w:div w:id="420419062">
      <w:bodyDiv w:val="1"/>
      <w:marLeft w:val="0"/>
      <w:marRight w:val="0"/>
      <w:marTop w:val="0"/>
      <w:marBottom w:val="0"/>
      <w:divBdr>
        <w:top w:val="none" w:sz="0" w:space="0" w:color="auto"/>
        <w:left w:val="none" w:sz="0" w:space="0" w:color="auto"/>
        <w:bottom w:val="none" w:sz="0" w:space="0" w:color="auto"/>
        <w:right w:val="none" w:sz="0" w:space="0" w:color="auto"/>
      </w:divBdr>
    </w:div>
    <w:div w:id="482164270">
      <w:bodyDiv w:val="1"/>
      <w:marLeft w:val="0"/>
      <w:marRight w:val="0"/>
      <w:marTop w:val="0"/>
      <w:marBottom w:val="0"/>
      <w:divBdr>
        <w:top w:val="none" w:sz="0" w:space="0" w:color="auto"/>
        <w:left w:val="none" w:sz="0" w:space="0" w:color="auto"/>
        <w:bottom w:val="none" w:sz="0" w:space="0" w:color="auto"/>
        <w:right w:val="none" w:sz="0" w:space="0" w:color="auto"/>
      </w:divBdr>
    </w:div>
    <w:div w:id="574317985">
      <w:bodyDiv w:val="1"/>
      <w:marLeft w:val="0"/>
      <w:marRight w:val="0"/>
      <w:marTop w:val="0"/>
      <w:marBottom w:val="0"/>
      <w:divBdr>
        <w:top w:val="none" w:sz="0" w:space="0" w:color="auto"/>
        <w:left w:val="none" w:sz="0" w:space="0" w:color="auto"/>
        <w:bottom w:val="none" w:sz="0" w:space="0" w:color="auto"/>
        <w:right w:val="none" w:sz="0" w:space="0" w:color="auto"/>
      </w:divBdr>
    </w:div>
    <w:div w:id="744693463">
      <w:bodyDiv w:val="1"/>
      <w:marLeft w:val="0"/>
      <w:marRight w:val="0"/>
      <w:marTop w:val="0"/>
      <w:marBottom w:val="0"/>
      <w:divBdr>
        <w:top w:val="none" w:sz="0" w:space="0" w:color="auto"/>
        <w:left w:val="none" w:sz="0" w:space="0" w:color="auto"/>
        <w:bottom w:val="none" w:sz="0" w:space="0" w:color="auto"/>
        <w:right w:val="none" w:sz="0" w:space="0" w:color="auto"/>
      </w:divBdr>
    </w:div>
    <w:div w:id="790709877">
      <w:bodyDiv w:val="1"/>
      <w:marLeft w:val="0"/>
      <w:marRight w:val="0"/>
      <w:marTop w:val="0"/>
      <w:marBottom w:val="0"/>
      <w:divBdr>
        <w:top w:val="none" w:sz="0" w:space="0" w:color="auto"/>
        <w:left w:val="none" w:sz="0" w:space="0" w:color="auto"/>
        <w:bottom w:val="none" w:sz="0" w:space="0" w:color="auto"/>
        <w:right w:val="none" w:sz="0" w:space="0" w:color="auto"/>
      </w:divBdr>
    </w:div>
    <w:div w:id="940719521">
      <w:bodyDiv w:val="1"/>
      <w:marLeft w:val="0"/>
      <w:marRight w:val="0"/>
      <w:marTop w:val="0"/>
      <w:marBottom w:val="0"/>
      <w:divBdr>
        <w:top w:val="none" w:sz="0" w:space="0" w:color="auto"/>
        <w:left w:val="none" w:sz="0" w:space="0" w:color="auto"/>
        <w:bottom w:val="none" w:sz="0" w:space="0" w:color="auto"/>
        <w:right w:val="none" w:sz="0" w:space="0" w:color="auto"/>
      </w:divBdr>
    </w:div>
    <w:div w:id="952513291">
      <w:bodyDiv w:val="1"/>
      <w:marLeft w:val="0"/>
      <w:marRight w:val="0"/>
      <w:marTop w:val="0"/>
      <w:marBottom w:val="0"/>
      <w:divBdr>
        <w:top w:val="none" w:sz="0" w:space="0" w:color="auto"/>
        <w:left w:val="none" w:sz="0" w:space="0" w:color="auto"/>
        <w:bottom w:val="none" w:sz="0" w:space="0" w:color="auto"/>
        <w:right w:val="none" w:sz="0" w:space="0" w:color="auto"/>
      </w:divBdr>
    </w:div>
    <w:div w:id="1150555087">
      <w:bodyDiv w:val="1"/>
      <w:marLeft w:val="0"/>
      <w:marRight w:val="0"/>
      <w:marTop w:val="0"/>
      <w:marBottom w:val="0"/>
      <w:divBdr>
        <w:top w:val="none" w:sz="0" w:space="0" w:color="auto"/>
        <w:left w:val="none" w:sz="0" w:space="0" w:color="auto"/>
        <w:bottom w:val="none" w:sz="0" w:space="0" w:color="auto"/>
        <w:right w:val="none" w:sz="0" w:space="0" w:color="auto"/>
      </w:divBdr>
    </w:div>
    <w:div w:id="1195195815">
      <w:bodyDiv w:val="1"/>
      <w:marLeft w:val="0"/>
      <w:marRight w:val="0"/>
      <w:marTop w:val="0"/>
      <w:marBottom w:val="0"/>
      <w:divBdr>
        <w:top w:val="none" w:sz="0" w:space="0" w:color="auto"/>
        <w:left w:val="none" w:sz="0" w:space="0" w:color="auto"/>
        <w:bottom w:val="none" w:sz="0" w:space="0" w:color="auto"/>
        <w:right w:val="none" w:sz="0" w:space="0" w:color="auto"/>
      </w:divBdr>
    </w:div>
    <w:div w:id="1415204980">
      <w:bodyDiv w:val="1"/>
      <w:marLeft w:val="0"/>
      <w:marRight w:val="0"/>
      <w:marTop w:val="0"/>
      <w:marBottom w:val="0"/>
      <w:divBdr>
        <w:top w:val="none" w:sz="0" w:space="0" w:color="auto"/>
        <w:left w:val="none" w:sz="0" w:space="0" w:color="auto"/>
        <w:bottom w:val="none" w:sz="0" w:space="0" w:color="auto"/>
        <w:right w:val="none" w:sz="0" w:space="0" w:color="auto"/>
      </w:divBdr>
    </w:div>
    <w:div w:id="1531335746">
      <w:bodyDiv w:val="1"/>
      <w:marLeft w:val="0"/>
      <w:marRight w:val="0"/>
      <w:marTop w:val="0"/>
      <w:marBottom w:val="0"/>
      <w:divBdr>
        <w:top w:val="none" w:sz="0" w:space="0" w:color="auto"/>
        <w:left w:val="none" w:sz="0" w:space="0" w:color="auto"/>
        <w:bottom w:val="none" w:sz="0" w:space="0" w:color="auto"/>
        <w:right w:val="none" w:sz="0" w:space="0" w:color="auto"/>
      </w:divBdr>
    </w:div>
    <w:div w:id="1730422080">
      <w:bodyDiv w:val="1"/>
      <w:marLeft w:val="0"/>
      <w:marRight w:val="0"/>
      <w:marTop w:val="0"/>
      <w:marBottom w:val="0"/>
      <w:divBdr>
        <w:top w:val="none" w:sz="0" w:space="0" w:color="auto"/>
        <w:left w:val="none" w:sz="0" w:space="0" w:color="auto"/>
        <w:bottom w:val="none" w:sz="0" w:space="0" w:color="auto"/>
        <w:right w:val="none" w:sz="0" w:space="0" w:color="auto"/>
      </w:divBdr>
    </w:div>
    <w:div w:id="1841312425">
      <w:bodyDiv w:val="1"/>
      <w:marLeft w:val="0"/>
      <w:marRight w:val="0"/>
      <w:marTop w:val="0"/>
      <w:marBottom w:val="0"/>
      <w:divBdr>
        <w:top w:val="none" w:sz="0" w:space="0" w:color="auto"/>
        <w:left w:val="none" w:sz="0" w:space="0" w:color="auto"/>
        <w:bottom w:val="none" w:sz="0" w:space="0" w:color="auto"/>
        <w:right w:val="none" w:sz="0" w:space="0" w:color="auto"/>
      </w:divBdr>
    </w:div>
    <w:div w:id="1869832887">
      <w:bodyDiv w:val="1"/>
      <w:marLeft w:val="0"/>
      <w:marRight w:val="0"/>
      <w:marTop w:val="0"/>
      <w:marBottom w:val="0"/>
      <w:divBdr>
        <w:top w:val="none" w:sz="0" w:space="0" w:color="auto"/>
        <w:left w:val="none" w:sz="0" w:space="0" w:color="auto"/>
        <w:bottom w:val="none" w:sz="0" w:space="0" w:color="auto"/>
        <w:right w:val="none" w:sz="0" w:space="0" w:color="auto"/>
      </w:divBdr>
    </w:div>
    <w:div w:id="1915237081">
      <w:bodyDiv w:val="1"/>
      <w:marLeft w:val="0"/>
      <w:marRight w:val="0"/>
      <w:marTop w:val="0"/>
      <w:marBottom w:val="0"/>
      <w:divBdr>
        <w:top w:val="none" w:sz="0" w:space="0" w:color="auto"/>
        <w:left w:val="none" w:sz="0" w:space="0" w:color="auto"/>
        <w:bottom w:val="none" w:sz="0" w:space="0" w:color="auto"/>
        <w:right w:val="none" w:sz="0" w:space="0" w:color="auto"/>
      </w:divBdr>
    </w:div>
    <w:div w:id="1926373851">
      <w:bodyDiv w:val="1"/>
      <w:marLeft w:val="0"/>
      <w:marRight w:val="0"/>
      <w:marTop w:val="0"/>
      <w:marBottom w:val="0"/>
      <w:divBdr>
        <w:top w:val="none" w:sz="0" w:space="0" w:color="auto"/>
        <w:left w:val="none" w:sz="0" w:space="0" w:color="auto"/>
        <w:bottom w:val="none" w:sz="0" w:space="0" w:color="auto"/>
        <w:right w:val="none" w:sz="0" w:space="0" w:color="auto"/>
      </w:divBdr>
    </w:div>
    <w:div w:id="2035769360">
      <w:bodyDiv w:val="1"/>
      <w:marLeft w:val="0"/>
      <w:marRight w:val="0"/>
      <w:marTop w:val="0"/>
      <w:marBottom w:val="0"/>
      <w:divBdr>
        <w:top w:val="none" w:sz="0" w:space="0" w:color="auto"/>
        <w:left w:val="none" w:sz="0" w:space="0" w:color="auto"/>
        <w:bottom w:val="none" w:sz="0" w:space="0" w:color="auto"/>
        <w:right w:val="none" w:sz="0" w:space="0" w:color="auto"/>
      </w:divBdr>
    </w:div>
    <w:div w:id="2121102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iverfrontig.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RIG">
      <a:dk1>
        <a:srgbClr val="000000"/>
      </a:dk1>
      <a:lt1>
        <a:srgbClr val="FFFFFF"/>
      </a:lt1>
      <a:dk2>
        <a:srgbClr val="00345E"/>
      </a:dk2>
      <a:lt2>
        <a:srgbClr val="9D8D85"/>
      </a:lt2>
      <a:accent1>
        <a:srgbClr val="1595D3"/>
      </a:accent1>
      <a:accent2>
        <a:srgbClr val="41A7C4"/>
      </a:accent2>
      <a:accent3>
        <a:srgbClr val="A9B22F"/>
      </a:accent3>
      <a:accent4>
        <a:srgbClr val="ECC153"/>
      </a:accent4>
      <a:accent5>
        <a:srgbClr val="E77139"/>
      </a:accent5>
      <a:accent6>
        <a:srgbClr val="000000"/>
      </a:accent6>
      <a:hlink>
        <a:srgbClr val="1595D3"/>
      </a:hlink>
      <a:folHlink>
        <a:srgbClr val="A9B22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8D6E-E4DF-46DF-AD54-974BA20F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circle S studio</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Nicholson</dc:creator>
  <cp:lastModifiedBy>Tracey DeSanto</cp:lastModifiedBy>
  <cp:revision>2</cp:revision>
  <cp:lastPrinted>2019-07-29T16:09:00Z</cp:lastPrinted>
  <dcterms:created xsi:type="dcterms:W3CDTF">2020-04-08T20:52:00Z</dcterms:created>
  <dcterms:modified xsi:type="dcterms:W3CDTF">2020-04-08T20:52:00Z</dcterms:modified>
</cp:coreProperties>
</file>